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001-41334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Translation of registrant’s name into English: </w:t>
      </w:r>
      <w:r>
        <w:rPr>
          <w:rFonts w:ascii="Times New Roman" w:cs="Times New Roman" w:eastAsia="Times New Roman" w:hAnsi="Times New Roman"/>
          <w:sz w:val="18"/>
          <w:szCs w:val="18"/>
          <w:color w:val="auto"/>
        </w:rPr>
        <w:t>Not applicable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15 Ha’Tidhar St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gridSpan w:val="2"/>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Ra’anana, 4366517 Israel</w:t>
            </w:r>
          </w:p>
        </w:tc>
      </w:tr>
      <w:tr>
        <w:trPr>
          <w:trHeight w:val="245"/>
        </w:trPr>
        <w:tc>
          <w:tcPr>
            <w:tcW w:w="440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Tel: +972-9-957-7706</w:t>
            </w:r>
          </w:p>
        </w:tc>
      </w:tr>
      <w:tr>
        <w:trPr>
          <w:trHeight w:val="236"/>
        </w:trPr>
        <w:tc>
          <w:tcPr>
            <w:tcW w:w="44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i w:val="1"/>
                <w:iCs w:val="1"/>
                <w:color w:val="auto"/>
                <w:w w:val="99"/>
              </w:rPr>
              <w:t>(Jurisdiction of incorporation or organization)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00" w:type="dxa"/>
            <w:vAlign w:val="bottom"/>
            <w:gridSpan w:val="3"/>
          </w:tcPr>
          <w:p>
            <w:pPr>
              <w:jc w:val="center"/>
              <w:ind w:right="12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r>
      <w:tr>
        <w:trPr>
          <w:trHeight w:val="38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Shahar Hania</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15 Ha’Tidhar St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Ra’anana, 4366517 Israel</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Tel: +972-9-957-7706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Email: marketing@railvision.io</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Telephone, E-mail and/or Facsimile number and Address of Company Contact Person)</w:t>
            </w:r>
          </w:p>
        </w:tc>
      </w:tr>
      <w:tr>
        <w:trPr>
          <w:trHeight w:val="43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each</w:t>
            </w: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registered</w:t>
            </w:r>
          </w:p>
        </w:tc>
        <w:tc>
          <w:tcPr>
            <w:tcW w:w="2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is to be registered</w:t>
            </w:r>
          </w:p>
        </w:tc>
      </w:tr>
      <w:tr>
        <w:trPr>
          <w:trHeight w:val="216"/>
        </w:trPr>
        <w:tc>
          <w:tcPr>
            <w:tcW w:w="4400" w:type="dxa"/>
            <w:vAlign w:val="bottom"/>
            <w:gridSpan w:val="3"/>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Ordinary shares, par value NIS 0.01 per share</w:t>
            </w:r>
          </w:p>
        </w:tc>
        <w:tc>
          <w:tcPr>
            <w:tcW w:w="25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RVSN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400" w:type="dxa"/>
            <w:vAlign w:val="bottom"/>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ordinary shares, par value</w:t>
            </w:r>
          </w:p>
        </w:tc>
        <w:tc>
          <w:tcPr>
            <w:tcW w:w="2540" w:type="dxa"/>
            <w:vAlign w:val="bottom"/>
            <w:gridSpan w:val="3"/>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8"/>
              </w:rPr>
              <w:t>RVSNW</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4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NIS 0.01 per share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Number of outstanding shares of each of the issuer’s classes of capital or common stock as of December 31, 2021: 9,157,324 ordinary shares and 51,282 Preferred A shares (which automatically converted to 2,256,408 ordinary shares upon completion of our initial public offering on April 4, 2022).</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ectPr>
          <w:pgSz w:w="11900" w:h="16838" w:orient="portrait"/>
          <w:cols w:equalWidth="0" w:num="1">
            <w:col w:w="11240"/>
          </w:cols>
          <w:pgMar w:left="320" w:top="877" w:right="339" w:bottom="1440" w:gutter="0" w:footer="0" w:header="0"/>
        </w:sectPr>
      </w:pPr>
    </w:p>
    <w:p>
      <w:pPr>
        <w:spacing w:after="0" w:line="196" w:lineRule="exact"/>
        <w:rPr>
          <w:sz w:val="20"/>
          <w:szCs w:val="20"/>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460" w:space="720"/>
            <w:col w:w="3000" w:space="720"/>
            <w:col w:w="3340"/>
          </w:cols>
          <w:pgMar w:left="320" w:top="877" w:right="339" w:bottom="1440" w:gutter="0" w:footer="0" w:header="0"/>
          <w:type w:val="continuous"/>
        </w:sectPr>
      </w:pPr>
    </w:p>
    <w:p>
      <w:pPr>
        <w:spacing w:after="0" w:line="1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9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as issued by the International</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690" w:lineRule="exact"/>
        <w:rPr>
          <w:sz w:val="20"/>
          <w:szCs w:val="20"/>
          <w:color w:val="auto"/>
        </w:rPr>
      </w:pPr>
    </w:p>
    <w:p>
      <w:pPr>
        <w:sectPr>
          <w:pgSz w:w="11900" w:h="16838" w:orient="portrait"/>
          <w:cols w:equalWidth="0" w:num="3">
            <w:col w:w="2100" w:space="720"/>
            <w:col w:w="6040" w:space="720"/>
            <w:col w:w="1660"/>
          </w:cols>
          <w:pgMar w:left="320" w:top="877" w:right="339" w:bottom="1440" w:gutter="0" w:footer="0" w:header="0"/>
          <w:type w:val="continuous"/>
        </w:sectPr>
      </w:pPr>
    </w:p>
    <w:p>
      <w:pPr>
        <w:spacing w:after="0" w:line="7"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0000EE"/>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INTRODUCTION</w:t>
            </w:r>
          </w:p>
        </w:tc>
        <w:tc>
          <w:tcPr>
            <w:tcW w:w="8940" w:type="dxa"/>
            <w:vAlign w:val="bottom"/>
            <w:tcBorders>
              <w:bottom w:val="single" w:sz="8" w:color="CCEEFF"/>
            </w:tcBorders>
            <w:gridSpan w:val="41"/>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2"/>
              </w:rPr>
              <w:t>iii</w:t>
            </w:r>
          </w:p>
        </w:tc>
      </w:tr>
      <w:tr>
        <w:trPr>
          <w:trHeight w:val="203"/>
        </w:trPr>
        <w:tc>
          <w:tcPr>
            <w:tcW w:w="40" w:type="dxa"/>
            <w:vAlign w:val="bottom"/>
          </w:tcPr>
          <w:p>
            <w:pPr>
              <w:spacing w:after="0"/>
              <w:rPr>
                <w:sz w:val="17"/>
                <w:szCs w:val="17"/>
                <w:color w:val="auto"/>
              </w:rPr>
            </w:pPr>
          </w:p>
        </w:tc>
        <w:tc>
          <w:tcPr>
            <w:tcW w:w="1030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EMERGING GROWTH COMPANY STATUS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5780" w:type="dxa"/>
            <w:vAlign w:val="bottom"/>
            <w:tcBorders>
              <w:bottom w:val="single" w:sz="8" w:color="0000EE"/>
            </w:tcBorders>
            <w:gridSpan w:val="3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20" w:type="dxa"/>
            <w:vAlign w:val="bottom"/>
            <w:tcBorders>
              <w:bottom w:val="single" w:sz="8" w:color="CCEEFF"/>
            </w:tcBorders>
            <w:gridSpan w:val="5"/>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v</w:t>
            </w:r>
          </w:p>
        </w:tc>
      </w:tr>
      <w:tr>
        <w:trPr>
          <w:trHeight w:val="202"/>
        </w:trPr>
        <w:tc>
          <w:tcPr>
            <w:tcW w:w="40" w:type="dxa"/>
            <w:vAlign w:val="bottom"/>
          </w:tcPr>
          <w:p>
            <w:pPr>
              <w:spacing w:after="0"/>
              <w:rPr>
                <w:sz w:val="17"/>
                <w:szCs w:val="17"/>
                <w:color w:val="auto"/>
              </w:rPr>
            </w:pPr>
          </w:p>
        </w:tc>
        <w:tc>
          <w:tcPr>
            <w:tcW w:w="1030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vi</w:t>
            </w:r>
          </w:p>
        </w:tc>
      </w:tr>
      <w:tr>
        <w:trPr>
          <w:trHeight w:val="21"/>
        </w:trPr>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PART I</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3"/>
        </w:trPr>
        <w:tc>
          <w:tcPr>
            <w:tcW w:w="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020" w:type="dxa"/>
            <w:vAlign w:val="bottom"/>
            <w:tcBorders>
              <w:top w:val="single" w:sz="8" w:color="0000EE"/>
            </w:tcBorders>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KEY INFORMATION</w:t>
            </w:r>
          </w:p>
        </w:tc>
        <w:tc>
          <w:tcPr>
            <w:tcW w:w="4940" w:type="dxa"/>
            <w:vAlign w:val="bottom"/>
            <w:tcBorders>
              <w:top w:val="single" w:sz="8" w:color="CCEEFF"/>
            </w:tcBorders>
            <w:gridSpan w:val="6"/>
          </w:tcPr>
          <w:p>
            <w:pPr>
              <w:spacing w:after="0"/>
              <w:rPr>
                <w:sz w:val="17"/>
                <w:szCs w:val="17"/>
                <w:color w:val="auto"/>
              </w:rPr>
            </w:pPr>
          </w:p>
        </w:tc>
        <w:tc>
          <w:tcPr>
            <w:tcW w:w="9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00" w:type="dxa"/>
            <w:vAlign w:val="bottom"/>
            <w:tcBorders>
              <w:bottom w:val="single" w:sz="8" w:color="0000EE"/>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[Reserved]</w:t>
            </w:r>
          </w:p>
        </w:tc>
        <w:tc>
          <w:tcPr>
            <w:tcW w:w="8160" w:type="dxa"/>
            <w:vAlign w:val="bottom"/>
            <w:tcBorders>
              <w:bottom w:val="single" w:sz="8" w:color="CCEEFF"/>
            </w:tcBorders>
            <w:gridSpan w:val="39"/>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3080" w:type="dxa"/>
            <w:vAlign w:val="bottom"/>
            <w:tcBorders>
              <w:bottom w:val="single" w:sz="8" w:color="0000EE"/>
            </w:tcBorders>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Reasons for the Offer and Use of Proceeds</w:t>
            </w:r>
          </w:p>
        </w:tc>
        <w:tc>
          <w:tcPr>
            <w:tcW w:w="5880" w:type="dxa"/>
            <w:vAlign w:val="bottom"/>
            <w:tcBorders>
              <w:bottom w:val="single" w:sz="8" w:color="CCEEFF"/>
            </w:tcBorders>
            <w:gridSpan w:val="9"/>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880" w:type="dxa"/>
            <w:vAlign w:val="bottom"/>
            <w:tcBorders>
              <w:bottom w:val="single" w:sz="8" w:color="0000EE"/>
            </w:tcBorders>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INFORMATION ON THE COMPANY</w:t>
            </w:r>
          </w:p>
        </w:tc>
        <w:tc>
          <w:tcPr>
            <w:tcW w:w="6080" w:type="dxa"/>
            <w:vAlign w:val="bottom"/>
            <w:tcBorders>
              <w:bottom w:val="single" w:sz="8" w:color="CCEEFF"/>
            </w:tcBorders>
            <w:gridSpan w:val="11"/>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22</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1400" w:type="dxa"/>
            <w:vAlign w:val="bottom"/>
            <w:tcBorders>
              <w:bottom w:val="single" w:sz="8" w:color="0000EE"/>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Business Overview</w:t>
            </w:r>
          </w:p>
        </w:tc>
        <w:tc>
          <w:tcPr>
            <w:tcW w:w="7560" w:type="dxa"/>
            <w:vAlign w:val="bottom"/>
            <w:tcBorders>
              <w:bottom w:val="single" w:sz="8" w:color="CCEEFF"/>
            </w:tcBorders>
            <w:gridSpan w:val="32"/>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23</w:t>
            </w:r>
          </w:p>
        </w:tc>
      </w:tr>
      <w:tr>
        <w:trPr>
          <w:trHeight w:val="202"/>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Organizational Structure</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Property, Plants and Equipment</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4A.</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03"/>
        </w:trPr>
        <w:tc>
          <w:tcPr>
            <w:tcW w:w="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4660" w:type="dxa"/>
            <w:vAlign w:val="bottom"/>
            <w:tcBorders>
              <w:top w:val="single" w:sz="8" w:color="0000EE"/>
            </w:tcBorders>
            <w:gridSpan w:val="39"/>
          </w:tcPr>
          <w:p>
            <w:pPr>
              <w:spacing w:after="0" w:line="202" w:lineRule="exact"/>
              <w:rPr>
                <w:sz w:val="20"/>
                <w:szCs w:val="20"/>
                <w:color w:val="auto"/>
              </w:rPr>
            </w:pPr>
            <w:r>
              <w:rPr>
                <w:rFonts w:ascii="Times New Roman" w:cs="Times New Roman" w:eastAsia="Times New Roman" w:hAnsi="Times New Roman"/>
                <w:sz w:val="18"/>
                <w:szCs w:val="18"/>
                <w:color w:val="0000EE"/>
              </w:rPr>
              <w:t>Operating Results</w:t>
            </w:r>
          </w:p>
        </w:tc>
        <w:tc>
          <w:tcPr>
            <w:tcW w:w="430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Research and Development, Patents and Licenses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1340" w:type="dxa"/>
            <w:vAlign w:val="bottom"/>
            <w:tcBorders>
              <w:bottom w:val="single" w:sz="8" w:color="0000EE"/>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Trend Information</w:t>
            </w:r>
          </w:p>
        </w:tc>
        <w:tc>
          <w:tcPr>
            <w:tcW w:w="7620" w:type="dxa"/>
            <w:vAlign w:val="bottom"/>
            <w:tcBorders>
              <w:bottom w:val="single" w:sz="8" w:color="CCEEFF"/>
            </w:tcBorders>
            <w:gridSpan w:val="33"/>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203"/>
        </w:trPr>
        <w:tc>
          <w:tcPr>
            <w:tcW w:w="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4620" w:type="dxa"/>
            <w:vAlign w:val="bottom"/>
            <w:tcBorders>
              <w:top w:val="single" w:sz="8" w:color="0000EE"/>
            </w:tcBorders>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4340" w:type="dxa"/>
            <w:vAlign w:val="bottom"/>
            <w:tcBorders>
              <w:top w:val="single" w:sz="8" w:color="CCEEFF"/>
            </w:tcBorders>
            <w:gridSpan w:val="4"/>
          </w:tcPr>
          <w:p>
            <w:pPr>
              <w:spacing w:after="0"/>
              <w:rPr>
                <w:sz w:val="17"/>
                <w:szCs w:val="17"/>
                <w:color w:val="auto"/>
              </w:rPr>
            </w:pPr>
          </w:p>
        </w:tc>
        <w:tc>
          <w:tcPr>
            <w:tcW w:w="9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Compensation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Board Practices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Share Ownership</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202"/>
        </w:trPr>
        <w:tc>
          <w:tcPr>
            <w:tcW w:w="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5380" w:type="dxa"/>
            <w:vAlign w:val="bottom"/>
            <w:tcBorders>
              <w:top w:val="single" w:sz="8" w:color="0000EE"/>
            </w:tcBorders>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Major Shareholders</w:t>
            </w:r>
          </w:p>
        </w:tc>
        <w:tc>
          <w:tcPr>
            <w:tcW w:w="3580" w:type="dxa"/>
            <w:vAlign w:val="bottom"/>
            <w:tcBorders>
              <w:top w:val="single" w:sz="8" w:color="CCEEFF"/>
            </w:tcBorders>
            <w:gridSpan w:val="2"/>
          </w:tcPr>
          <w:p>
            <w:pPr>
              <w:spacing w:after="0"/>
              <w:rPr>
                <w:sz w:val="17"/>
                <w:szCs w:val="17"/>
                <w:color w:val="auto"/>
              </w:rPr>
            </w:pPr>
          </w:p>
        </w:tc>
        <w:tc>
          <w:tcPr>
            <w:tcW w:w="9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1940" w:type="dxa"/>
            <w:vAlign w:val="bottom"/>
            <w:tcBorders>
              <w:bottom w:val="single" w:sz="8" w:color="0000EE"/>
            </w:tcBorders>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020" w:type="dxa"/>
            <w:vAlign w:val="bottom"/>
            <w:tcBorders>
              <w:bottom w:val="single" w:sz="8" w:color="CCEEFF"/>
            </w:tcBorders>
            <w:gridSpan w:val="23"/>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64</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2260" w:type="dxa"/>
            <w:vAlign w:val="bottom"/>
            <w:tcBorders>
              <w:bottom w:val="single" w:sz="8" w:color="0000EE"/>
            </w:tcBorders>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6700" w:type="dxa"/>
            <w:vAlign w:val="bottom"/>
            <w:tcBorders>
              <w:bottom w:val="single" w:sz="8" w:color="CCEEFF"/>
            </w:tcBorders>
            <w:gridSpan w:val="18"/>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Statements and Other Financial Information</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1460" w:type="dxa"/>
            <w:vAlign w:val="bottom"/>
            <w:tcBorders>
              <w:bottom w:val="single" w:sz="8" w:color="0000EE"/>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Significant Changes</w:t>
            </w:r>
          </w:p>
        </w:tc>
        <w:tc>
          <w:tcPr>
            <w:tcW w:w="7500" w:type="dxa"/>
            <w:vAlign w:val="bottom"/>
            <w:tcBorders>
              <w:bottom w:val="single" w:sz="8" w:color="CCEEFF"/>
            </w:tcBorders>
            <w:gridSpan w:val="29"/>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THE OFFER AND LISTING</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Offer and Listing Details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02"/>
        </w:trPr>
        <w:tc>
          <w:tcPr>
            <w:tcW w:w="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1800" w:type="dxa"/>
            <w:vAlign w:val="bottom"/>
            <w:tcBorders>
              <w:top w:val="single" w:sz="8" w:color="0000EE"/>
            </w:tcBorders>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7160" w:type="dxa"/>
            <w:vAlign w:val="bottom"/>
            <w:tcBorders>
              <w:top w:val="single" w:sz="8" w:color="CCEEFF"/>
            </w:tcBorders>
            <w:gridSpan w:val="24"/>
          </w:tcPr>
          <w:p>
            <w:pPr>
              <w:spacing w:after="0"/>
              <w:rPr>
                <w:sz w:val="17"/>
                <w:szCs w:val="17"/>
                <w:color w:val="auto"/>
              </w:rPr>
            </w:pPr>
          </w:p>
        </w:tc>
        <w:tc>
          <w:tcPr>
            <w:tcW w:w="9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600" w:type="dxa"/>
            <w:vAlign w:val="bottom"/>
            <w:tcBorders>
              <w:bottom w:val="single" w:sz="8" w:color="0000EE"/>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Markets</w:t>
            </w:r>
          </w:p>
        </w:tc>
        <w:tc>
          <w:tcPr>
            <w:tcW w:w="8360" w:type="dxa"/>
            <w:vAlign w:val="bottom"/>
            <w:tcBorders>
              <w:bottom w:val="single" w:sz="8" w:color="CCEEFF"/>
            </w:tcBorders>
            <w:gridSpan w:val="40"/>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8960" w:type="dxa"/>
            <w:vAlign w:val="bottom"/>
            <w:gridSpan w:val="42"/>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Shareholders</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w:t>
            </w:r>
          </w:p>
        </w:tc>
        <w:tc>
          <w:tcPr>
            <w:tcW w:w="8960" w:type="dxa"/>
            <w:vAlign w:val="bottom"/>
            <w:gridSpan w:val="4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F.</w:t>
            </w:r>
          </w:p>
        </w:tc>
        <w:tc>
          <w:tcPr>
            <w:tcW w:w="1560" w:type="dxa"/>
            <w:vAlign w:val="bottom"/>
            <w:tcBorders>
              <w:bottom w:val="single" w:sz="8" w:color="0000EE"/>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EE"/>
                <w:w w:val="99"/>
              </w:rPr>
              <w:t>Expenses of the Issue</w:t>
            </w:r>
          </w:p>
        </w:tc>
        <w:tc>
          <w:tcPr>
            <w:tcW w:w="7400" w:type="dxa"/>
            <w:vAlign w:val="bottom"/>
            <w:gridSpan w:val="27"/>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85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03"/>
        </w:trPr>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2400" w:type="dxa"/>
            <w:vAlign w:val="bottom"/>
            <w:tcBorders>
              <w:top w:val="single" w:sz="8" w:color="0000EE"/>
            </w:tcBorders>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Share Capital</w:t>
            </w:r>
          </w:p>
        </w:tc>
        <w:tc>
          <w:tcPr>
            <w:tcW w:w="6180" w:type="dxa"/>
            <w:vAlign w:val="bottom"/>
            <w:tcBorders>
              <w:top w:val="single" w:sz="8" w:color="CCEEFF"/>
            </w:tcBorders>
            <w:gridSpan w:val="12"/>
          </w:tcPr>
          <w:p>
            <w:pPr>
              <w:spacing w:after="0"/>
              <w:rPr>
                <w:sz w:val="17"/>
                <w:szCs w:val="17"/>
                <w:color w:val="auto"/>
              </w:rPr>
            </w:pPr>
          </w:p>
        </w:tc>
        <w:tc>
          <w:tcPr>
            <w:tcW w:w="1380" w:type="dxa"/>
            <w:vAlign w:val="bottom"/>
            <w:tcBorders>
              <w:top w:val="single" w:sz="8" w:color="CCEEFF"/>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1660" w:type="dxa"/>
            <w:vAlign w:val="bottom"/>
            <w:tcBorders>
              <w:bottom w:val="single" w:sz="8" w:color="0000EE"/>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Articles of Association</w:t>
            </w:r>
          </w:p>
        </w:tc>
        <w:tc>
          <w:tcPr>
            <w:tcW w:w="6920" w:type="dxa"/>
            <w:vAlign w:val="bottom"/>
            <w:tcBorders>
              <w:bottom w:val="single" w:sz="8" w:color="CCEEFF"/>
            </w:tcBorders>
            <w:gridSpan w:val="17"/>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Material Contracts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1380" w:type="dxa"/>
            <w:vAlign w:val="bottom"/>
            <w:tcBorders>
              <w:bottom w:val="single" w:sz="8" w:color="0000EE"/>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Exchange Controls</w:t>
            </w:r>
          </w:p>
        </w:tc>
        <w:tc>
          <w:tcPr>
            <w:tcW w:w="7200" w:type="dxa"/>
            <w:vAlign w:val="bottom"/>
            <w:tcBorders>
              <w:bottom w:val="single" w:sz="8" w:color="CCEEFF"/>
            </w:tcBorders>
            <w:gridSpan w:val="22"/>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E.</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w:t>
            </w:r>
          </w:p>
        </w:tc>
        <w:tc>
          <w:tcPr>
            <w:tcW w:w="85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03"/>
        </w:trPr>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G.</w:t>
            </w:r>
          </w:p>
        </w:tc>
        <w:tc>
          <w:tcPr>
            <w:tcW w:w="2140" w:type="dxa"/>
            <w:vAlign w:val="bottom"/>
            <w:tcBorders>
              <w:top w:val="single" w:sz="8" w:color="0000EE"/>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Statement by Experts</w:t>
            </w:r>
          </w:p>
        </w:tc>
        <w:tc>
          <w:tcPr>
            <w:tcW w:w="6440" w:type="dxa"/>
            <w:vAlign w:val="bottom"/>
            <w:tcBorders>
              <w:top w:val="single" w:sz="8" w:color="CCEEFF"/>
            </w:tcBorders>
            <w:gridSpan w:val="14"/>
          </w:tcPr>
          <w:p>
            <w:pPr>
              <w:spacing w:after="0"/>
              <w:rPr>
                <w:sz w:val="17"/>
                <w:szCs w:val="17"/>
                <w:color w:val="auto"/>
              </w:rPr>
            </w:pPr>
          </w:p>
        </w:tc>
        <w:tc>
          <w:tcPr>
            <w:tcW w:w="1380" w:type="dxa"/>
            <w:vAlign w:val="bottom"/>
            <w:tcBorders>
              <w:top w:val="single" w:sz="8" w:color="CCEEFF"/>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H.</w:t>
            </w:r>
          </w:p>
        </w:tc>
        <w:tc>
          <w:tcPr>
            <w:tcW w:w="85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Documents on Display</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Subsidiary Information</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6140" w:type="dxa"/>
            <w:vAlign w:val="bottom"/>
            <w:tcBorders>
              <w:bottom w:val="single" w:sz="8" w:color="0000EE"/>
            </w:tcBorders>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440" w:type="dxa"/>
            <w:vAlign w:val="bottom"/>
            <w:tcBorders>
              <w:bottom w:val="single" w:sz="8" w:color="CCEEFF"/>
            </w:tcBorders>
            <w:gridSpan w:val="5"/>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w:t>
            </w:r>
          </w:p>
        </w:tc>
        <w:tc>
          <w:tcPr>
            <w:tcW w:w="85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Debt Securities</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B.</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Warrants and rights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w:t>
            </w:r>
          </w:p>
        </w:tc>
        <w:tc>
          <w:tcPr>
            <w:tcW w:w="85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Securities</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D.</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American Depositary Shares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PART II</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7860" w:type="dxa"/>
            <w:vAlign w:val="bottom"/>
            <w:tcBorders>
              <w:bottom w:val="single" w:sz="8" w:color="0000EE"/>
            </w:tcBorders>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7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CONTROLS AND PROCEDURES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1040" w:type="dxa"/>
            <w:vAlign w:val="bottom"/>
            <w:tcBorders>
              <w:bottom w:val="single" w:sz="8" w:color="0000EE"/>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7"/>
              </w:rPr>
              <w:t>[RESERVED]</w:t>
            </w:r>
          </w:p>
        </w:tc>
        <w:tc>
          <w:tcPr>
            <w:tcW w:w="7540" w:type="dxa"/>
            <w:vAlign w:val="bottom"/>
            <w:tcBorders>
              <w:bottom w:val="single" w:sz="8" w:color="CCEEFF"/>
            </w:tcBorders>
            <w:gridSpan w:val="26"/>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16A.</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16B.</w:t>
            </w:r>
          </w:p>
        </w:tc>
        <w:tc>
          <w:tcPr>
            <w:tcW w:w="1440" w:type="dxa"/>
            <w:vAlign w:val="bottom"/>
            <w:tcBorders>
              <w:bottom w:val="single" w:sz="8" w:color="0000EE"/>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CODE OF ETHICS</w:t>
            </w:r>
          </w:p>
        </w:tc>
        <w:tc>
          <w:tcPr>
            <w:tcW w:w="7140" w:type="dxa"/>
            <w:vAlign w:val="bottom"/>
            <w:tcBorders>
              <w:bottom w:val="single" w:sz="8" w:color="CCEEFF"/>
            </w:tcBorders>
            <w:gridSpan w:val="20"/>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16C.</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16D.</w:t>
            </w:r>
          </w:p>
        </w:tc>
        <w:tc>
          <w:tcPr>
            <w:tcW w:w="6160" w:type="dxa"/>
            <w:vAlign w:val="bottom"/>
            <w:tcBorders>
              <w:bottom w:val="single" w:sz="8" w:color="0000EE"/>
            </w:tcBorders>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420" w:type="dxa"/>
            <w:vAlign w:val="bottom"/>
            <w:tcBorders>
              <w:bottom w:val="single" w:sz="8" w:color="CCEEFF"/>
            </w:tcBorders>
            <w:gridSpan w:val="4"/>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16E.</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16F.</w:t>
            </w:r>
          </w:p>
        </w:tc>
        <w:tc>
          <w:tcPr>
            <w:tcW w:w="4680" w:type="dxa"/>
            <w:vAlign w:val="bottom"/>
            <w:tcBorders>
              <w:bottom w:val="single" w:sz="8" w:color="0000EE"/>
            </w:tcBorders>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CHANGE IN REGISTRANT’S CERTIFYING ACCOUNTANT</w:t>
            </w:r>
          </w:p>
        </w:tc>
        <w:tc>
          <w:tcPr>
            <w:tcW w:w="3900" w:type="dxa"/>
            <w:vAlign w:val="bottom"/>
            <w:tcBorders>
              <w:bottom w:val="single" w:sz="8" w:color="CCEEFF"/>
            </w:tcBorders>
            <w:gridSpan w:val="8"/>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16G.</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CORPORATE GOVERNANCE</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16H.</w:t>
            </w:r>
          </w:p>
        </w:tc>
        <w:tc>
          <w:tcPr>
            <w:tcW w:w="2340" w:type="dxa"/>
            <w:vAlign w:val="bottom"/>
            <w:tcBorders>
              <w:bottom w:val="single" w:sz="8" w:color="0000EE"/>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MINE SAFETY DISCLOSURE</w:t>
            </w:r>
          </w:p>
        </w:tc>
        <w:tc>
          <w:tcPr>
            <w:tcW w:w="6240" w:type="dxa"/>
            <w:vAlign w:val="bottom"/>
            <w:tcBorders>
              <w:bottom w:val="single" w:sz="8" w:color="CCEEFF"/>
            </w:tcBorders>
            <w:gridSpan w:val="13"/>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16I</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48"/>
        </w:trPr>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PART III</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2"/>
        </w:trPr>
        <w:tc>
          <w:tcPr>
            <w:tcW w:w="40" w:type="dxa"/>
            <w:vAlign w:val="bottom"/>
          </w:tcPr>
          <w:p>
            <w:pPr>
              <w:spacing w:after="0"/>
              <w:rPr>
                <w:sz w:val="17"/>
                <w:szCs w:val="17"/>
                <w:color w:val="auto"/>
              </w:rPr>
            </w:pPr>
          </w:p>
        </w:tc>
        <w:tc>
          <w:tcPr>
            <w:tcW w:w="12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17.</w:t>
            </w:r>
          </w:p>
        </w:tc>
        <w:tc>
          <w:tcPr>
            <w:tcW w:w="85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FINANCIAL STATEMENTS</w:t>
            </w:r>
          </w:p>
        </w:tc>
        <w:tc>
          <w:tcPr>
            <w:tcW w:w="138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75</w:t>
            </w:r>
          </w:p>
        </w:tc>
      </w:tr>
      <w:tr>
        <w:trPr>
          <w:trHeight w:val="21"/>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18.</w:t>
            </w:r>
          </w:p>
        </w:tc>
        <w:tc>
          <w:tcPr>
            <w:tcW w:w="85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FINANCIAL STATEMENTS</w:t>
            </w: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75</w:t>
            </w:r>
          </w:p>
        </w:tc>
      </w:tr>
      <w:tr>
        <w:trPr>
          <w:trHeight w:val="203"/>
        </w:trPr>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ITEM 19.</w:t>
            </w:r>
          </w:p>
        </w:tc>
        <w:tc>
          <w:tcPr>
            <w:tcW w:w="2140" w:type="dxa"/>
            <w:vAlign w:val="bottom"/>
            <w:tcBorders>
              <w:top w:val="single" w:sz="8" w:color="0000EE"/>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EXHIBITS</w:t>
            </w:r>
          </w:p>
        </w:tc>
        <w:tc>
          <w:tcPr>
            <w:tcW w:w="6440" w:type="dxa"/>
            <w:vAlign w:val="bottom"/>
            <w:tcBorders>
              <w:top w:val="single" w:sz="8" w:color="CCEEFF"/>
            </w:tcBorders>
            <w:gridSpan w:val="14"/>
          </w:tcPr>
          <w:p>
            <w:pPr>
              <w:spacing w:after="0"/>
              <w:rPr>
                <w:sz w:val="17"/>
                <w:szCs w:val="17"/>
                <w:color w:val="auto"/>
              </w:rPr>
            </w:pPr>
          </w:p>
        </w:tc>
        <w:tc>
          <w:tcPr>
            <w:tcW w:w="1380" w:type="dxa"/>
            <w:vAlign w:val="bottom"/>
            <w:tcBorders>
              <w:top w:val="single" w:sz="8" w:color="CCEEFF"/>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SIGNATURES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20-F to the “Company,” “Rail Vision,” “we,” “us,” “our” and other similar designations refer to Rail Vision Ltd. All references to “shares” or “ordinary shares” are to our ordinary shares, NIS 0.01 par value per share. All references to “Israel” are to the State of Israel. “U.S. GAAP” means the generally accepted accounting principles of the United States. Unless otherwise stated, all of our financial information presented in this Annual Report has been prepared in accordance with U.S. GAAP. Any discrepancies in any table between totals and sums of the amounts listed are due to rounding. Unless otherwise indicated, or the context otherwise requires, references in this Annual Report to financial and operational data for a particular year refer to the fiscal year of our company ended December 31 of that year.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reporting currency and financial currency is the U.S. dollar. In this Annual Report, “NIS” means New Israeli Shekel, and “$,” “US$” and “U.S. dollars” mean United States dollars.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U.S. Jumpstart Our Business Startups Act of 2012, or JOBS Act, and we may take advantage of certain exemptions, including exemptions from various reporting requirements that are otherwise applicable to public traded entities that do not qualify as emerging growth companies. These exemptions include:</w:t>
      </w:r>
    </w:p>
    <w:p>
      <w:pPr>
        <w:spacing w:after="0" w:line="176"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or the Sarbanes-Oxley Act;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We have elected to irrevocably opt out of this extended transition period and, as a result, we are required to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first fiscal year in which our annual gross revenues exceed $1.07 billion; (ii) the last day of the fiscal year following the fifth anniversary of the date of our initial public offering (i.e., December 31, 2027); (iii) the date that we become a “large accelerated filer” as defined in Rule 12b-2 under the Exchange Act, which would occur if the aggregate worldwide market value of our ordinary shares, including ordinary shares represented by warrants, held by non-affiliates is at least $700 million as of the last business day of our most recently completed second fiscal quarter; or (iv) the date on which we have issued more than $1.0 billion in non-convertible debt securities during any three-year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Other trademarks, service marks and trade names appearing in this annual report are the property of their respective owners. Solely for convenience, some of the trademarks, service marks and trade names referred to in this annual report are listed without the ® and ™ symbols, but we will assert, to the fullest extent under applicable law, our rights to our trademarks, service marks and trade names.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included or incorporated by reference in this Annual Report on Form 20-F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summarized below:</w:t>
      </w:r>
    </w:p>
    <w:p>
      <w:pPr>
        <w:spacing w:after="0" w:line="176"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capital requirements and our belief that our existing cash will be sufficient to fund our operations for at least the next 12 months;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and sell our products and to generate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partners and grow relationships with new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protect the validity of our U.S. and other patents and other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and penetrate markets in new locations and new market segments;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 members and hire additional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current laws and the passages of future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greater regulatory compliance needed in existing and new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demand for passenger and freight transport;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key performance milestones in our planned operational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adequate sales, marketing and distribution channels;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business model by investors;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referred to in “Item 3.D. Risk Factors,” “Item 4. Information on the Company,” and “Item 5. Operating and Financial Review and Prospects,” as well as in this Annual Report on Form 20-F generally.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Annual Report on Form 20-F in greater detail under the heading “Risk Factors” and elsewhere in this Annual Report on Form 20-F. You should not rely upon forward-looking statements as predictions of future events.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 data and certain industry data and forecasts used throughout this Annual Report on Form 20-F were obtained from sources we believe to be reliable, including market research databases, publicly available information, reports of governmental agencies, and industry publications and surveys. We have relied on certain data from third party sources, including industry forecasts and market research, which we believe to be reliable based on our management’s knowledge of the industry. While we are not aware of any misstatements regarding the industry data presented in this Annual Report on Form 20-F, our estimates involve risks and uncertainties and are subject to change based on various factors, including those discussed under the heading “Risk Factors” and elsewhere in this Annual Report on Form 20-F.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Statements made in this Annual Report on Form 20-F concerning the contents of any agreement, contract or other document are summaries of such agreements, contracts or documents and are not a complete description of all of their terms. If we filed any of these agreements, contracts or documents as exhibits to this Report or to any previous filing with the Securities and Exchange Commission, or SEC, you may read the document itself for a complete understanding of its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30" w:lineRule="auto"/>
        <w:tabs>
          <w:tab w:leader="none" w:pos="22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80" w:hanging="652"/>
        <w:spacing w:after="0" w:line="500" w:lineRule="auto"/>
        <w:tabs>
          <w:tab w:leader="none" w:pos="23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together with all of the other information in this Annual Report on Form 20-F. The risks and uncertainties described below are those significant risk factors, currently known and specific to us, that we believe are relevant to an investment in our securities. Additional risks and uncertainties not currently known to us or that we now deem immaterial may also harm us. If any of these risks materialize our business, results of operations or financial condition could suffer, and the price of our ordinary shares could decline substantially.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below. These risks include, among others,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significant revenue from the sale of our current products and may never be profitable.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 Raising additional capital would cause dilution to our existing shareholders, and may affect the rights of existing shareholders.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entirely on the success of our current products in development, we may not be able to successfully introduce these products and commercialize them, and we may not be able to successfully manage our planned growth, and our operating results and financial condition may fluctuate. Defects in products could give rise to product returns or product liability, warranty or other claims that could result in material expenses, diversion of management time and attention, and damage to our reputation.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changes in railway safety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arising from the COVID-19 pandemic which continues to impact our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applicable employment laws, we may not be able to enforce covenants not to compete and therefore may be unable to prevent our competitors from benefiting from the expertise of some of our former employees.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our failure to compete successfully could cause any future revenues and the demand for our products not to materialize or to decline over time.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international operations will expose us to additional market and operational risks, and failure to manage these risks may adversely affect our business and operating results.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our data security could adversely affect our business. Additionally, we are subject to data ownership and privacy regulations which may expose us to lawsuits and sanctions for violations.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entity level control components relating to documenting our financial reporting process, and our management will be required to devote substantial time to maintaining and improving our internal controls over financial reporting, and the requirements of being a public company which may, among other things, strain our resources, divert management’s attention and affect our ability to accurately report our financial results and prevent fraud.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developments, or social media posts and interactions may impact our reputation.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9" w:lineRule="exact"/>
        <w:rPr>
          <w:sz w:val="20"/>
          <w:szCs w:val="20"/>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 affecting our ability to compete.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intellectual property, which could be expensive, time consuming, and unsuccessful and we may be subject to claims challenging the inventorship of our intellectual property, and we may not be able to protect our intellectual property rights throughout the world.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Securities</w:t>
      </w:r>
    </w:p>
    <w:p>
      <w:pPr>
        <w:spacing w:after="0" w:line="229"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due to the ongoing military conflict between Russia and Ukraine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shareholders, officers and directors beneficially own approximately 57% of our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directors have relationships with our principal shareholders, which may cause conflicts of interest with respect to our business.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 “passive foreign investment company,” or PFIC, for U.S. federal income tax purposes in the current taxable year or may be one in any subsequent taxable year. There generally would be negative tax consequences for U.S. taxpayers that are holders of our ordinary shares if we are or were to become a PFIC.</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Israeli Law and Our Incorporation, Location and Operations in Israel</w:t>
      </w:r>
    </w:p>
    <w:p>
      <w:pPr>
        <w:spacing w:after="0" w:line="229" w:lineRule="exact"/>
        <w:rPr>
          <w:sz w:val="20"/>
          <w:szCs w:val="20"/>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and responsibilities as a holder of our securities are governed by Israeli law, which differs in some material respects from the rights and responsibilities of shareholders of U.S. companies.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headquarters, research and development and other significant operations are located in Israel, and, therefore, our results may be adversely affected by political, economic and military instability in Israel.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disrupted as a result of the obligation of management or key personnel to perform military service.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development-stage company with a limited operating history. We have incurred net losses since our inception in 2016, including net losses of approximately $10.2 million for the year ended December 31, 2021. As of December 31, 2021, we had an accumulated deficit of approximately $44.3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to develop our solutions. We have financed our operations primarily through the issuance of equity securities. The amount of our future net losses will depend, in part, on completing the development of our products, the rate of our future expenditures and our ability to obtain funding through the issuance of our securities, strategic collaborations or grants. We expect to continue to incur significant losses until we are able to successfully commercialize our products. We anticipate that our expenses will increase substantially if and as we:</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and testing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license, and/or develop other products and subsequent generations of our current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and retain skilled personnel;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and our product development and planned future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from the sale of our current products and may never be profitable.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yet commercialized any of our products and have not generated significant revenues since the date of our inception. Our first revenues were recorded in our unaudited interim condensed financial statements for the period ended June 30, 2021. Our ability to generate revenue and achieve profitability depends on our ability to successfully complete the development of, and to commercialize, our products. Our ability to generate future revenue from product sales depends heavily on our success in many areas, including but not limited to:</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development and testing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amount and quality) products to support market demand for our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products, either directly or with a collaborator or distributor;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we will need to invest significant time and require substantial additional capital to commercialize our products. In addition, our operating plans may change as a result of many factors that may currently be unknown to us, and we may need to seek additional funds sooner than planned. Our future capital requirements will depend on many factors, including but not limited to:</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product development, testing and other related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commercial supplies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and distribution capabilities;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products. In addition, we cannot guarantee that future financing will be available, when needed,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ordinary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unfavorable to us, any of which may have a material adverse effect on our business, operating results and prospects. Even if we believe that we have sufficient funds for our current or future operating plans, we may seek additional capital if market conditions are favorable or if we have specific strategic considerations.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our products or be unable to expand our operations or otherwise capitalize on our business opportunities, as desired, which could materially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would cause dilution to our existing shareholders, and may affect the rights of existing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collaborations and strategic and licensing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entirely on the success of our current products in development, and we may not be able to successfully introduce these products and commercialize them.</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invested almost all of our efforts and financial resources in the research, development and testing of our products in development. As a result, our business is entirely dependent on our ability to complete the development of, and to successfully commercialize, our product candidates. The process of development and commercialization is long, complex, costly and uncertain of outcome. While we have several ongoing tests with train operators through which we hope to demonstrate our technology, we cannot assure you that any of these programs will result in subsequent sales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in products could give rise to product returns or product liability, warranty or other claims that could result in material expenses, diversion of management time and attention, and damage to our reputation.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we are successful in introducing our products to the market, our products may contain undetected defects or errors that, despite testing, are not discovered until after a product has been used. Specifically, our safety device is complex and could have, or could be alleged to have, defects in design or manufacturing or other errors or failures. This could result in delayed market acceptance of those products, claims from distributors, end-users or others, increased end-user service and support costs and warranty claims, damage to our reputation and business, or significant costs to correct the defect or error. Furthermore, we face a risk of exposure to claims in the event that our products are used in connection with autonomous train operations, and do not perform as expected or experience a malfunction that results in personal injury or death.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claim brought against us, regardless of its merit, could result in material expense, diversion of management time and attention, and damage to our reputation, and could cause us to fail to retain or attract customers.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 limited coverage of product liability insurance, which could materially affect our financial condition in the event we have a product liability claim.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we maintain a limited coverage of product liability insurance in the amount of $3 million, which will be necessary prior to the commercialization of our products. It is likely that our current and/or any future product liability insurance that we will have in the future will be subject to significant deductibles and there is no guarantee that such insurance will be available or adequate to protect against all such claims, or we may elect to self-insure with respect to certain matters. Costs or payments made in connection with warranty and product liability claims and product recalls or other claims could materially affect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changes in railway safety regulations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autonomous train industry continues to develop, regulators, including the U.S. Department of Transportation’s Federal Railroad Administration, or FRA, and the European Union Agency for Railways, or ERA, may adapt existing regulations and create new ones in order to ensure the compatibility of autonomous trains and autonomous train technology with regulatory expectations, requirements relating to safety and legal liability. On March 29, 2018, for instance, the FRA issued a formal Request For Information, or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the COVID-19 pandemic which has impacted and continues to impact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Public health epidemics or outbreaks could adversely impact our business. In late 2019, a novel strain of COVID-19, also known as coronavirus, was reported in Wuhan, China. While initially the outbreak was largely concentrated in China, it has now spread to countries across the globe, including in Israel and the United States. Many countries around the world, including Israel and the United States, have implemented significant governmental measures to control the spread of the virus, including temporary closure of businesses, severe restrictions on travel and the movement of people, and other material limitations on the conduct of business. With the ongoing COVID-19 global pandemic, we have implemented business continuity plans designed to address and mitigate the impact of the COVID-19 pandemic on its employees and its business. In particular, we implemented remote working and work place protocols for our employees in accordance with government requirements. The implementation of measures to prevent the spread of COVID-19 have resulted in disruptions to our partnering efforts which depend, in part, on attendance at in-person meetings, industry conferences and other events and during 2020 we engaged in cost-cutting measures that included temporary salary reductions, reduction of headcount and placing employees on unpaid leave. The outbreak of COVID-19 has affected our activities in several ways, including making it more difficult for us to raise capital, we have experienced disruptions to our partnering efforts which depend, in part, on attendance at in person meetings, industry conferences and other events, employees are required to quarantine from time to time upon exposure to COVID-19 impacting their performance, and we have experienced shortages of and delays in both raw materials and electronic components such as computer chips. Due to COVID-19 impacting the global supply chain, supplies and component shortages are negatively impacting our ability to plan and deliver upon orders received in a timely fashion, and supply chain disruption, component shortages and shipping challenges are increasing our costs. These increased costs may require us to raise prices of our products in turn; such price increases may result in our products being less price-competitive in the market. It is not possible at this time to estimate the full impact that the COVID-19 pandemic could have on our operations, as the impact will depend on future developments, which are highly uncertain and cannot be predicted with confidence, including the duration and severity of the outbreak, and the actions that may be required to contain COVID-19 or treat its impact. Any actions we take to counteract the consequences of the COVID-19 pandemic may not be successful, and the ultimate impact of COVID-19 on our operations is uncertain.</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our future development and commercialization plans and strategies develop, we expect to need additional managerial, operational, sales, marketing, financial and legal personnel.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failure to deliver and timely deliver our products to customers, loss of employees and reduced productivity among remaining employees. Our expected growth could require significant capital expenditures and may divert financial resources from other projects, such as the development of additional new products. If our management is unable to effectively manage our growth, our expenses may increase more than expected, our ability to generate and/or grow revenue could be reduced, and we may not be able to implement our business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are successful in introducing our products to the market, the operating results and financial condition of our company may fluctuate from quarter to quarter and year to year and are likely to continue to vary due to a number of factors, many of which will not be within our control. If our operating results do not meet the guidance that we provide to the marketplace or the expectations of securities analysts or investors, the market price of our ordinary shares will likely decline. Fluctuations in our operating results and financial condition may be due to a number of factors, including those listed below:</w:t>
      </w:r>
    </w:p>
    <w:p>
      <w:pPr>
        <w:spacing w:after="0" w:line="18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that we sell during any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 cycles;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amounts that we spend to promote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 and servicing our installed base of systems;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systems and the generation of sales from those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products and services by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predicting sales patterns and reorder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threats of litigation, including intellectual property claims by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tax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responses to price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that affect end-user demand and end-user levels of product design and manufacturing;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that affect returns on our cash balances and short-term investments;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dollar-NIS exchange rates that affect the value of our net assets, future revenues and expenditures from and/or relating to our activities carried out in those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research and development activities by our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end-use/end-user governmental regulation policy.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herein, you should not rely on quarter to quarter and year to year comparisons of our operating results as an indicator of our future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Even if we are successful in completing the development of our products in development, our failure to compete successfully could cause any future revenues and the demand for our products not to materialize or to decline over time.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aim to sell our products to train operators and/or rolling stock manufacturers. We are still in the development stage and many of our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Current and future competitors may be able to respond more quickly to new or emerging technologies and changes in customer demands and to devote greater resources to the development, promotion and sale of their products than we can. Our current and potential competitors may develop and market new technologies that render our existing or future products obsolete, unmarketable or less competitive (whether from a price perspective or otherwise). We cannot assure you that we will be able to establish a competitive position or to compete successfully against current and future sources of competition.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component parts that are used in our products from third-party suppliers. While there are several potential suppliers of most of these component parts that we use, we currently choose to use only one or a limited number of suppliers for several of these components. Our reliance on a single or limited number of vendors involves a number of risks,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shortages of some key components;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shortfalls, if traceable to particular product components, since the supplier of the faulty component cannot readily be replaced;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of a product on which we rely;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of several months in the delivery of components in the event a replacement product is sought;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these vendors;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manufacturing capabilities, quality and costs.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require any new supplier to become “qualified” pursuant to our internal procedures. The qualification process involves evaluations of varying durations, which may cause production delays if we were required to qualify a new supplier unexpectedly. We generally assemble our systems and parts based on our internal forecasts and the availability of assemblies, components and finished goods that are supplied to us by third parties, which are subject to various lead times. If certain suppliers were to decide to discontinue production of an assembly, or component that we use, the unanticipated change in the availability of supplies, or unanticipated supply limitations, could cause delays in, or loss of, sales, increased production or related costs and consequently reduced margins, and damage to our reputation. If we were unable to find a suitable supplier for a particular component or compound, we could be required to modify our existing products or the end-parts that we offer to accommodate substitute components or compounds.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some of our agreements, customers require the ability to maintain systems for a period of at least ten years. During such a long period, there is a risk that some of the system components of our products will become obsolete and will not be available from our suppliers. Therefore, there is a risk that we will be obliged to hold an inventory of components that may become obsolete, or be forced to locate or develop alternatives to such components.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operations at our and third-parties’ manufacturing sites could prevent us from timely filling customer orders and could lead to unforeseen costs for us.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assemble and test the systems that we sell at single facilities in various locations that are specifically dedicated to separate categories of systems. Because of our reliance on all of these production facilities, a disruption at any of those facilities could materially damage our ability to supply our products to the marketplace in a timely manner. Depending on the cause of the disruption, we could also incur significant costs to remedy the disruption and resume product shipments. Such disruptions may be caused by, among other factors, earthquakes, fire, flood and other natural disasters. Accordingly, any such disruption could result in a material adverse effect on our revenue, results of operations and earnings, and could also potentially damage our reputation. Additionally, we rely on third-party manufacturers for components of our products, and we do not have control over the facilities of these third-party manufacturers.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planned international operations will expose us to additional market and operational risks, and failure to manage these risks may adversely affect our business and operating results.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derive a substantial percentage of our sales from international markets. Accordingly, we will face significant operational risks from doing business internationally, including: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ship and/or manufacture overseas;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barriers sustained by conducting business activity in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greater difficulties in collecting accounts receivable;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certain countries, particularly in Asia and South America;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products for foreign countries;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complex foreign laws, treaties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our ability to sell or develop our products in certain foreign markets;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the laws, regulations and the court systems of many jurisdictions.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failure to manage the market and operational risks associated with our international operations effectively could limit the future growth of our business and adversely affect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might be adversely affected by security breaches, including any cybersecurity incidents.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and communications systems, and those of our consultants, contractors and vendors, which we use for, among other things, sensitive company data, including our intellectual property, financial data and other proprietary business information.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certain of our operations have business continuity and disaster recovery plans and other security measures intended to prevent and minimize the impact of IT-related interruptions, our IT infrastructure and the IT infrastructure of our consultants, contractors and vendors are vulnerable to damage from cyberattacks, computer viruses, unauthorized access, electrical failures and natural disasters or other catastrophic events. We could experience failures in our information systems and computer servers, which could result in an interruption of our normal business operations and require substantial expenditure of financial and administrative resources to remedy. System failures, accidents or security breaches can cause interruptions in our operations and can result in a material disruption of our targeted phage therapies, product candidates and other business operations. The loss of data from completed or future studies or clinical trials could result in delays in our research, development or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regulatory investigations and redresses, penalties and liabilities and the development of our product candidates could be delayed or otherwise adversely affected.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though we believe we carry commercially reasonable business interruption and liability insurance, we might suffer losses as a result of business interruptions that exceed the coverage available under our insurance policies or for which we do not have coverage. For example, we are not insured against terrorist attacks or cyberattacks. Any natural disaster or catastrophic event could have a significant negative impact on our operations and financial results. Moreover, any such event could delay the development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ownership and privacy regulations which may expose us to lawsuits and sanctions for violations.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General Data Protection Regulation (GDPR) of the European Union, there are general restrictions regarding the photographing of images without the knowledge and permission of the person being photographed. In this context, the information collected by our system’s detection units must be protected and encrypted. Failure to comply with these regulations under the GDPR may expose us to lawsuits and sanctions for such violations. In addition, the ownership of the information collected through our system’s detection units is determined in accordance with the local law under which the train operates and will usually remain the property of the customer, with us receiving only limited permission to make use of the information for system improvement but not for other uses, and all subject to the provisions of the said law. These limitations may impede the implementation of our plans to develop certain services through the processing of information obtained by the systems.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foreign tax laws could have a material adverse effect on our business, cash flow, results of operations or financial conditions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including the U.S. federal tax legislation enacted in 2017, commonly referred to as the Tax Cuts and Jobs Act of 2017,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Biden administration has proposed a number of changes to the U.S. tax system. The proposals include changes that would increase U.S. corporate tax rates, impose a corporate minimum book tax, and double the tax rate on and make other tax changes to “global intangible low-taxed income” earned by foreign subsidiaries. Many aspects of the proposals are unclear or undeveloped. We are unable to predict which, if any, U.S. tax reform proposals will be enacted into law, and what effects any enacted legislation might have on our liability for U.S. tax.</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entity level control components relating to documenting our financial reporting process, and our management will be required to devote substantial time to maintaining and improving our internal controls over financial reporting and the requirements of being a public company which may, among other things, strain our resources, divert management’s attention and affect our ability to accurately report our financial results and prevent fraud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 of the Sarbanes-Oxley Act, or Section 404, and therefore are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annual reports and provide an annual management report on the effectiveness of our internal control over financial reporting. Though we are required to disclose material changes in internal control over financial reporting on an annual basis, we are not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We have identified a material weakness in our entity level control components relating to documenting our financial reporting process and we expect to take a number of measures to address the material weaknesses that have been identified.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planned growth and expansion.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make investments in our products in development. We expect that our annual operating expenses will continue to increase as we invest in business development, marketing, research and development, manufacturing and production infrastructure, and develop customer service and support resources for future customers. Failure to expand operational and financial systems timely or efficiently may result in operating inefficiencies, which could increase costs and expenses to a greater extent than we anticipate and may also prevent us from successfully executing our business plan. We may not be able to offset the costs of operation expansion by leveraging the economies of scale from our growth in negotiations with our suppliers and contract manufacturers. Additionally, if we increase our operating expenses in anticipation of the growth of our business and this growth falls short of our expectations, our financial results will be negatively impacted.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business grows, we will have to manage additional product design projects, materials procurement processes, and sales efforts and marketing for an increasing number of products, as well as expand the number and scope of our relationships with suppliers, distributors and end customers. If we fail to manage these additional responsibilities and relationships successfully, we may incur significant costs, which may negatively impact our operating results. Additionally, in our efforts to develop new products with innovative functionality and features, we may devote significant research and development resources to products and product features for which a market does not develop quickly, or at all. If we are not able to predict market trends accurately, we may not benefit from such research and development activities, and our results of operations may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retain our executive officers and to attract, retain and motivate other qualified personnel.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senior management and qualified employees. The loss of their services without proper replacement may adversely impact the achievement of our objectives. Also, our performance is largely dependent on the talents and efforts of highly skilled individuals, particularly our software engineers. Recruiting and retaining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in the industry in which we operate. Moreover, certain of our competitors or other technology businesses may seek to hire our employees. The inability to recruit and retain qualified personnel, or the loss of the services of our executive officers, without proper replacement, may impede the progress of our development and commercialization objectives.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These agreements prohibit our employees from competing directly with us or working for our competitors or clients for a limited period after they cease working for us.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events, developments, or social media posts and interactions may impact our reputation.</w:t>
      </w:r>
    </w:p>
    <w:p>
      <w:pPr>
        <w:spacing w:after="0" w:line="229" w:lineRule="exact"/>
        <w:rPr>
          <w:sz w:val="20"/>
          <w:szCs w:val="20"/>
          <w:color w:val="auto"/>
        </w:rPr>
      </w:pPr>
    </w:p>
    <w:p>
      <w:pPr>
        <w:jc w:val="both"/>
        <w:ind w:firstLine="719"/>
        <w:spacing w:after="0" w:line="254" w:lineRule="auto"/>
        <w:rPr>
          <w:sz w:val="20"/>
          <w:szCs w:val="20"/>
          <w:color w:val="auto"/>
        </w:rPr>
      </w:pPr>
      <w:r>
        <w:rPr>
          <w:rFonts w:ascii="Times New Roman" w:cs="Times New Roman" w:eastAsia="Times New Roman" w:hAnsi="Times New Roman"/>
          <w:sz w:val="18"/>
          <w:szCs w:val="18"/>
          <w:color w:val="auto"/>
        </w:rPr>
        <w:t>Damage to our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easy for individuals and groups to communicate and share opinions and views in regard to issuers and their activities, whether true or not. Negative posts or comments about us on any social network could damage our reputation. In addition, employees or others might disclose non-public sensitive information related to our business through external media channels. The continuing evolution of social media will present us with new challenges and risks. We do not ultimately have direct control over how we are perceived by others. Reputation loss may result in decreased investor confidence, increased challenges in developing and maintaining community relations and an impediment to our overall ability to advance our business strategy and realize on our growth prospects.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relied on trade secret protection and confidentiality agreements to protect the intellectual property related to our technologies and products. Since our incorporation, we have also sought patent protection for certain of our products. Our success depends in large part on our ability to obtain and maintain patent and other intellectual property protection in the United States and in other countries with respect to our proprietary technology and new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in other countries with respect to our novel technologies and products,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growing portfolio of five patents issued in the USA; one patent issued in China; one patent issued from the European Patent Office (EPO) and being validated in Germany, Switzerland, Hungary, Austria, Denmark, France and Great Britain; one patent issued in Japan; 33 pending patent applications, of which two are US provisional patent applications and 31 are national phase patent applications filed in the USA, EPO, China, Japan and India under the provisions of the Patent Cooperation Treaty (PCT) through World Intellectual Property Organization (WIPO); and one of which is a patent application in Hong Kong and requested based on the Chinese national phase patent application. We cannot offer any assurances about which, if any, patent applications will be issued, the breadth of any such patent once issued, or whether any issued patents will be found invalid or unenforceable or will be threatened by third parties. Any successful opposition to these patents or any other patents owned by or licensed to us could deprive us of rights necessary for the successful commercialization of any existing or new products.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Also, there is no guarantee that the patent registration applications that were submitted by us with regards to our technologies will result in patent registration. In the event of failure to complete patent registration, the Company’s developments will not be proprietary, which might allow other entities to manufacture the Company’s products and compete with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new products, or prevent others from designing around our claims. Any of these outcomes could impair our ability to prevent competition from third parties, which may have an adverse impact on our business.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cannot obtain and maintain effective patent rights for our products, we may not be able to compete effectively, and our business and results of operations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products, we may not be able to compete effectively in our markets.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protection afforded by any patents that may be granted,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physical security of our premises and physical and electronic security of our information technology systems. Agreements or security measures may be breached, and we may not have adequate remedies for any breach. In addition, our trade secrets and intellectual property may otherwise become known or be independently discovered by competitors.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provide any assurances that our trade secrets and other confidential proprietary information will not be disclosed in violation of our confidentiality agreements or that competitors will not otherwise gain access to our trade secrets or independently develop substantially equivalent information and techniques. Also, misappropriation or unauthorized and unavoidable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any trade secret.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products, and we might be required to litigate or obtain licenses from third parties in order to develop or market our product candidates. Such litigation or licenses could be costly or not available on commercially reasonable terms.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inherently difficult to conclusively assess our freedom to operate without infringing on third party rights. Our competitive position may be adversely affected if existing patents or patents resulting from patent applications issued to third parties or other third party intellectual property rights are held to cover our products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products. If such an infringement claim should be brought and be successful, we may be required to pay substantial damages, be forced to abandon our products or seek a license from any patent holders. No assurances can be given that a license will be available on commercially reasonable terms, if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 party patents or applications. For example, U.S. patent applications filed before November 29, 2000 and certain U.S. patent applications filed after that date that will not be filed outside the United States remain confidential until patents are issued.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products. If we fail in any such dispute, in addition to being forced to pay damages, we may be temporarily or permanently prohibited from commercializing our products that are held to be infringing. We might, if possible, also be forced to redesign our new products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which could be expensive, time consuming, and unsuccessful.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If we were to initiate legal proceedings against a third party to enforce a patent covering one of our products,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the USPTO, or made a misleading statement, during prosecution. Under the Leahy-Smith Act, the validity of U.S. patents may also be challenged in post-grant proceedings before the USPTO. The outcome following legal assertions of invalidity and unenforceability is unpredictable.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Derivation proceedings initiated by third parties or brought by us may be necessary to determine the priority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research programs, license necessary technology from third parties, or enter into development partnerships that would help us bring our products to market.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intellectual property.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rights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case law clarifies that the right to receive consideration for “service inventions” can be waived by the employee and that in certain circumstances,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or engagement with us, we may face claims demanding remuneration in consideration of assigned inventions. As a consequence of such claims, we could be required to pay additional remuneration or royalties to our current and former employees, or be forced to litigate such claims, which could negatively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products, as well as monitoring their infringement in all countries throughout the world, would be prohibitively expensive, and our intellectual property rights in some countries can be less extensive than those in the United States.</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products. Future patents or other intellectual property rights may not be effective or sufficient to prevent such products from competing with our products.</w:t>
      </w:r>
    </w:p>
    <w:p>
      <w:pPr>
        <w:spacing w:after="0" w:line="1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monitor and enforce our intellectual property rights around the world may be inadequate to obtain a significant commercial advantage from the intellectual property that we develop or license.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In February 2022, Russia launched a full-scale military invasion of Ukraine. Although the length and impact of the ongoing military conflict is highly unpredictable, the conflict in Ukraine could lead to market disruptions, including significant volatility in commodity prices, credit and capital markets. 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20-F.</w:t>
      </w:r>
    </w:p>
    <w:p>
      <w:pPr>
        <w:spacing w:after="0" w:line="1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officers and directors beneficially own approximately 57% of our outstanding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p>
      <w:pPr>
        <w:spacing w:after="0" w:line="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shareholders, officers and directors beneficially own approximately 57% of our ordinary shares. This significant concentration of share ownership may adversely affect the trading price for our ordinary shares because investors often perceive disadvantages in owning shares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and which may result in conflicts with us or you in the future.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have relationships with our principal shareholders, which may cause conflicts of interest with respect to our business.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Two of our current directors are affiliated with Knorr-Bremse and one director is affiliated with Foresight, our largest shareholders. In addition, pursuant to our amended and restated articles of association, shareholders are entitled to appoint a director to our board of directors for each 10% of our outstanding share capital that they own and in such case the appointment will be for an undefined period. As a result, these directors may face real or apparent conflicts of interest with respect to matters affecting both us and Knorr-Bremse or Foresight, whose interests may be adverse to ours in certain circumstances.</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81"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may be adopted by the Public Company Accounting Oversight Board requiring mandatory audit firm rotation or a supplement to the auditor’s report on the financial statements; and,</w:t>
      </w:r>
    </w:p>
    <w:p>
      <w:pPr>
        <w:spacing w:after="0" w:line="80"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 of the JOBS Act, which provides that an “emerging growth company” can take advantage of the extended transition period provided in Section 7(a)(2)(B) of the Securities Act of 1933, as amended, or the Securities Act, for complying with new or revised accounting standards. This means that an “emerging growth company” can delay the adoption of certain accounting standards until those standards would otherwise apply to private companies. We have elected to delay such adoption of new or revised accounting standards. As a result of this adoption, our financial statements may not be comparable to companies that comply with the public company effective date.</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take advantage of these exemptions until we are no longer an “emerging growth company.” We will remain an emerging growth company until the earlier of (1) the last day of the fiscal year (a) following the fifth anniversary of the date of our first sale of common equity securities pursuant to an effective registration statement under the Securities Act, (b) in which we have total annual gross revenue of at least $1.07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market prices may be more volatile and may decline.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Also, although the Israeli Companies Law, or the Companies Law, will require us to disclose the annual compensation of our five most highly compensated senior officers on an individual basis, this disclosure will not be as extensive as that required of a U.S. domestic issuer. For example, the disclosure required under the Companies Law is limited to compensation paid in the immediately preceding year without any requirement to disclose option exercises and vested stock options, pension benefits or potential payments upon termination or a change of control. Furthermore, as a foreign private issuer, we are also not subject to the requirements of Regulation FD (Fair Disclosure) promulgated under the Exchange Act.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exemptions and leniencies will reduce the frequency and scope of information and protections to which you are entitled as an investor.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for U.S. federal income tax purposes in the current taxable year or may become one in any subsequent taxable year. There generally would be negative tax consequences for U.S. taxpayers that are holders of our ordinary shares if we are or were to become a PFIC.</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Based on the projected composition of our income and valuation of our assets, we believe we may have been a PFIC during 2021, and although we have not determined whether we will be a PFIC in 2022, or in any subsequent year, our operating results for any such years may cause us to be a PFIC. The determination of whether we are a PFIC is made on an annual basis and will depend on the composition of our income and assets from time to time. We will be treated as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The tests for determining PFIC status are applied annually, and it is difficult to make accurate projections of future income and assets which are relevant to this determination. In addition, our PFIC status may depend in part on the market value of our ordinary shares. Accordingly, there can be no assurance that we currently are not or will not become a PFIC in the future. If we are a PFIC in any taxable year during which a U.S. taxpayer holds our ordinary shares, such U.S. taxpayer would be subject to certain adverse U.S. federal income tax rules. In particular, if the U.S. taxpayer did not make an election to treat us as a “qualified electing fund,” or QEF, or make a “mark-to-market” election, then “excess distributions” to the U.S. taxpayer, and any gain realized on the sale or other disposition of our ordinary shares by the U.S. taxpayer: (1) would be allocated ratably over the U.S. taxpayer’s holding period for the ordinary shares;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our ordinary shares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We do not intend to notify U.S. taxpayers that hold our ordinary shares if we believe we will be treated as a PFIC for any taxable year in order to enable U.S. taxpayers to consider whether to make a QEF election. In addition, we do not intend to furnish such U.S. taxpayers annually with information needed in order to complete IRS Form 8621 and to make and maintain a valid QEF election for any year in which we or any of our, if any, are a PFIC. U.S. taxpayers that hold our ordinary shares are strongly urged to consult their tax advisors about the PFIC rules, including tax return filing requirements and the eligibility, manner, and consequences to them of making a QEF or mark-to-market election with respect to our ordinary shares in the event that we are a PFIC. See “Taxation—U.S. Federal Income Tax Considerations—Passive Foreign Investment Companies” for additional information.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or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treated as CFC or whether any investor is treated as a United States shareholder with respect to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in the public market by our existing shareholders could cause our share price to fall.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Furthermore, while our directors, officers and certain shareholders are subject to lock-up agreements with the underwriter of our initial public offering that restrict their ability to transfer our ordinary shares until October 2022, approximately 43% of our shareholders will not be subject to such lock-up and may sell their shares at any time. We are unable to predict the effect that sales may have on the prevailing market price of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highly volatile, and you could lose all or part of your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ordinary shares and warrants is likely to be volatile. This volatility may prevent you from being able to sell your ordinary shares or warrants at or above the price you paid for your securities. Our share price could be subject to wide fluctuations in response to a variety of factors, which include:</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shareholders to sell shares after the initial public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or elsewhere.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 and we have little or no control over these factors.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included in the units are listed on Nasdaq and may provide investors with an arbitrage opportunity that could adversely affect the trading price of our ordinary shares.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the units will never trade as a unit, and the warrants are traded on Nasdaq, investors may be provided with an arbitrage opportunity that could depress the price of our ordinary shares.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the ordinary shares, our share price and trading volume could decline.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the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the ordinary shares, or provide more favorable relative recommendations about our competitors, the price of our ordinary shares would likely decline. If any analyst who may cover us were to cease coverage of our company or fail to regularly publish reports on us, we could lose visibility in the financial markets, which in turn could cause the price of our ordinary shares or trading volume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and intend, to follow certain home country corporate governance practices instead of otherwise applicable SEC and Nasdaq Capital Market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or proxy statements that comply with the requirements applicable to U.S. domestic reporting companies. Furthermore, although under regulations promulgated under the Companies Law, as an Israeli public company listed overseas we will be required to disclose the compensation of our five most highly compensated office holders on an individual basis (rather than on an aggregate basis), this disclosure will not be as extensive as that required of U.S. domestic reporting companies. We will also have four months after the end of each fiscal year to file our annual reports with the SEC and will not be required to file current reports as frequently or promptly as U.S. domestic reporting companies. Furthermore, our officers, directors and principal shareholders will be exempt from the requirements to report transactions and short-swing profit recovery required by Section 16 of the Exchange Act. Also, as a “foreign private issuer,” we are not subject to the requirements of Regulation FD (Fair Disclosure) promulgated under the Exchange Act. These exemptions and leniencies will reduce the frequency and scope of information and protections available to investors in comparison to those applicable to a U.S. domestic reporting companies.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 country corporate governance practices instead of those otherwise required under the listing rules of the Nasdaq for domestic U.S. issuers. For instance, we follow home country practice in Israel instead of the listing rules of the Nasdaq requiring that a majority of a listed company’s board of directors be comprised of independent directors within a specified period after listing. In addition, we will follow our home country law instead of the listing rules of the Nasdaq that require that we obtain shareholder approval for certain dilutive events, such as the establishment or amendment of certain equity based compensation plans, an issuance that will result in a change of control of our company, certain transactions other than a public offering involving issuances of a 20% or greater interest in the company, and certain acquisitions of the stock or assets of another company. We may in the future elect to follow home country corporate governance practices in Israel with regard to other matters. Following our home country corporate governance practices as opposed to the requirements that would otherwise apply to a U.S. company listed on the Nasdaq may provide less protection to investors than what would otherwise be accorded to investors under the listing rules of the Nasdaq applicable to domestic U.S. issuers.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Israeli Law and Our Incorporation, Location and Operations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functional and reporting currency is the U.S. dollar. A material portion of our operating expenses is incurred outside the United States, mainly in NIS, and is subject to fluctuations due to changes in foreign currency exchange rates, particularly changes in NIS. Our foreign currency-denominated expenses consist primarily of personnel, rent and other overhead costs. Since a significant portion of our expenses is incurred in NIS, any appreciation of the NIS relative to the U.S. dollar would adversely impact our net loss or net income, as relevant. We are therefore exposed to foreign currency risk due to fluctuations in exchange rates. This may result in gains or losses with respect to movements in exchange rates which may be material and may also cause fluctuations in reported financial information that are not necessarily related to its operating results. In relation to the effect of inflation, results for tax purposes are measured in terms of earnings in NIS after certain adjustments for increases in the Israeli Consumer Price Index, or CPI. As the results in our financial statements are measured in U.S. dollars, the difference between the annual change in the Israeli CPI and in the NIS/U.S. dollar exchange rate can cause a difference between taxable income and the net loss shown in the financial statements. We expect that the majority of our revenues will be generated in U.S. dollars with the balance in EURO for the foreseeable future, and that a significant portion of our expenses will continue to be denominated in NIS and partially in U.S. dollars and EURO. To date, foreign currency transaction gains and losses and exchange rate fluctuations have not been material to our financial statements, and we have not engaged in any foreign currency hedging transactions.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149"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company incorporated under the law of the State of Israel, we are subject to Israeli law. 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and a majority of the offerees that do not have a personal interest in the tender offer approves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Israeli tax considerations also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may be subject to certain restrictions and additional terms. Moreover, with respect to certain share swap transactions, the tax deferral is limited in time, and when such time expires, the tax becomes payable even if no disposition of the shares has occurred. See “Taxation—Israeli Tax Considerations and Government Programs” for additional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holder of our securities are governed by Israeli law, which differs in some material respects from the rights and responsibilities of shareholders of U.S. companies.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the holders of our ordinary shares are governed by our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 vote or to appoint or prevent the appointment of an officer of the company has a duty to act in fairness towards the company with regard to such vote or appointment. However, Israeli law does not define the substance of this duty of fairness. There is limited case law available to assist us in understanding the nature of this duty or the implications of these provisions. These provisions may be interpreted to impose additional obligations on holders of our ordinary shares that are not typically imposed on shareholders of U.S. corporations. See “Directors, Senior Management and Employees—Board Practices—Duties of Shareholders” for additional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were incorporated in Israel and our corporate headquarters are located in Israel. All of our executive officers and directors and the Israeli experts named in this Annual Report are located outside of the U.S. All of our assets and most of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executive offices, corporate headquarters and research and development facilities are located in Israel. In addition, all of our officers and directors are residents of Israel. Accordingly, political, economic and military conditions in Israel and the surrounding region may directly affect our business. Since the establishment of the State of Israel in 1948, a number of armed conflicts have taken place between Israel and its neighboring Arab countries, the Hamas (an Islamist militia and political group that controls the Gaza strip) and the Hezbollah (an Islamist militia and political group based in Lebanon). Any hostilities involving Israel or the interruption or curtailment of trade between Israel and its trading partners could negatively affect business conditions in Israel in general and our business in particular, and adversely affect our operations and results of operations. Ongoing and revived hostilities or other Israeli political or economic factors, such as, an interruption of operations at the Ben Gurion International Airport, could prevent or delay our regular operation, product development and delivery of products.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political uprisings, social unrest and violence in various countries in the Middle East and North Africa, including Israel’s neighbor Syria, is affecting the political stability and may lead to deterioration in the political and trade relationships that exist between the State of Israel and certain other countries. Any armed conflicts, terrorist activities or political instability in the region could adversely affect business conditions, could harm our results of operations and the market price of our securities,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several countries. For instance, the Israeli legislature passed a law forbidding any investments in entities that transact business with Iran.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as a result of the obligation of management or key personnel to perform military service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employees and consultants in Israel, including members of our senior management, may be obligated to perform one month, and in some cases longer periods, of military reserve duty until they reach the age of 40 (or older, for citizens who hold certain positions in the Israeli armed forces reserves) and, in the event of a military conflict or emergency circumstances, may be called to immediate and unlimited active duty. In the event of severe unrest or other conflict, individuals could be required to serve in the military for extended periods of time.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related to military service. Such disruption could materially adversely affect our business and operations. Additionally, the absence of a significant number of the employees of our Israeli suppliers and contractors related to military service or the absence for extended periods of one or more of their key employees for military service may disrupt their operations.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the listing of our securities for trading on Nasdaq. By becoming a public company in the United States, our management is required to devote substantial time to new compliance initiatives as well as compliance with ongoing U.S. requirements.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the listing of securities on Nasdaq, we became a publicly traded company in the United States. As a public company in the United States, we will incur additional significant accounting, legal and other expenses that we did not incur before our initial public offering on April 4, 2022. We also anticipate that we will incur costs associated with corporate governance requirements of the SEC, as well as requirements under Section 404 and other provisions of the Sarbanes-Oxley Act. We expect these rules and regulations to increase our legal and financial compliance costs, introduce new costs such as investor relations, stock exchange listing fees and shareholder reporting, and to make some activities more time consuming and costly. The implementation and testing of such processes and systems may require us to hire outside consultants and incur other significant costs. Any future changes in the laws and regulations affecting public companies in the United States, including Section 404 and other provisions of the Sarbanes-Oxley Act, and the rules and regulations adopted by the SEC,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Israel in April 2016. Our principal executive offices are located at 15 Hatidhar St. Ra’anana, 4366517 Israel. Our telephone number in Israel is +972-9-957-7706. Our website address is http://www.railvision.io/. Information contained on or accessible through our website is not a part of this Annual Report on Form 20-F, and the inclusion of our website address herein is an inactive textual reference only. Puglisi &amp; Associates, or Puglisi, serves as our authorized representative in the United States for certain limited matters. Puglisi’s address is 850 Library Avenue, Newark, Delaware 19711.</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http://sec.gov. We use our website (http://www.railvision.io), LinkedIn (https://www.linkedin.com/company/rail-vision), Instagram (https://www.instagram.com/railvision), and Facebook (https://www.facebook.com/railvision.io) as channels of distribution of Company information. The information we post through this channel may be deemed material. Accordingly, investors should monitor our website, in addition to following our press releases, SEC filings and public conference calls and webcasts. The contents of our website are not, however, a part of this Annual Report on Form 20-F.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implemented under the JOBS Act. As such, we are eligible to, and intend to, take advantage of certain exemptions from reporting requirements that generally apply to public companies, including the auditor attestation requirements with respect to internal control over financial reporting under Section 404 of the Sarbanes-Oxley Act, compliance with new standards adopted by the Public Company Accounting Oversight Board which may require mandatory audit firm rotation or auditor discussion and analysis, exemption from say on pay, say on frequency, and say on golden parachute voting requirements, and reduced disclosure obligations regarding executive compensation in our periodic reports and proxy statements. We will be an emerging growth company until the earliest of: (i) the last day of the fiscal year during which we had total annual gross revenues of $1.07 billion or more, (ii) the last day of the fiscal year following the fifth anniversary of the date of the first sale of the ordinary shares pursuant to an effective registration statement (i.e., December 31, 2027), (iii) the date on which we have, during the previous three-year period, issued more than $1 billion in non-convertible debt, or (iv) the date on which we are deemed a “large accelerated filer” as defined in Regulation S-K under the Securities Act, which means the market value of our ordinary shares that is held by non-affiliates exceeds $700 million as of the prior June 30th.</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from certain rules and regulations under the Exchange Act that are applicable to other public companies that are not foreign private issuers.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 with the SEC and will not be required to file current reports as frequently or promptly as U.S. domestic reporting companies. Our senior management, directors, and principal shareholders will be exempt from the requirements to report transactions in our equity securities and from the short-swing profit liability provisions contained in Section 16 of the Exchange Act. As a foreign private issuer, we will also not be subject to the requirements of Regulation FD (Fair Disclosure) promulgated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 Our railway detection system is currently in the pilot phase with several industry leading railway operators as we seek to move to the next stage of receiving commercial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increasing electrification and automation of railways and trains are two key factors that are driving growth in the transportation market. Autonomous trains are integrated with advanced systems to provide improved control over the train for stopping, departing and movement between train stations – for example the operators are aiming to increase the density on a given track that’s to say more trains per kilometer. From everyday passengers to train operators, there is a rising demand for safe, secure, and efficient transport systems. Additionally, various technological advancements, such as the integration of the Internet of Things, or IoT, and artificial intelligence, or AI, solutions into railway detection systems, are market categories expected to grow in the coming years. These technologies aid in improving the overall operational efficiency and maintaining freight operations and systems. According to Report Linker, the autonomous train technologies market was valued at USD $7.5 billion in 2020, and is expected to reach USD $10.2 billion by 2026, representing a CAGR of 5.61% for that period.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founding in April 2016, we have developed unique railway detection systems for railway safety, based on image processing technology that provide early warnings to train driver of hazards on and around the railway track, including during severe weather and in all lighting conditions. Our unique system uses special high resolution cameras to identify objects up to 2,000 meters away, along with a computer unit that uses AI machine learning algorithms to analyze the images, identify objects on or near the tracks, and warn the train driver of the obstacle and potential danger. We were recognized as the winner of Deutche Banh’s MINDBOX competition for our automated early warning systems to prevent railway accidents.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railway detection system includes different types of cameras, including optics, visible light spectrum cameras (video) and thermal cameras that transmit data to a ruggedized on-board computer which is designed to be suitable for the rough environment of a train’s locomotive. Our railway detection and classification system includes an image-processing and machine-learning algorithm that processes the data for identifying potential hazards on and around the track. These algorithms are designed to identify and classify objects such as people, animals, vehicles, bridges, junctions, signs, signals along the track, and anomalies. Our railway detection system actively classifies objects by severity to determine if an alarm should be signaled to the train driver. These data collection and classification capabilities can be extended to further use-cases such as predictive maintenance and big-data analyses.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technology demonstrates capabilities and results that are better than existing solutions. Most of the currently available safety solutions for the railway industry focus on stationary systems in dedicated hazardous locations, such as at level track crossings and passenger train stations, among others. At these dedicated locations, different technologies are used for detecting obstacles that are on the vicinity of level crossing tracks, and usually include different cameras and radars. The problem with this type of solution is that the train is only monitored at specific points in the railroad junction, leaving the vast majority of the railway unprotected. In recognition of the limitations of existing solutions, we integrate a collision avoidance system using long-range real-time AI and electro-optics technologies on trains that is designed to address this unmet need. as well as providing solutions to most of the challenges train operators face during transit such as collisions, derailments and other accidents caused by obstacles on tracks, or poor infrastructure.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Market Opportunity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railway is an essential form of transportation. Efficient and safe railway infrastructure plays a central role in the global economy. The process of expanding and upgrading railways is taking place worldwide, driving the importance to produce safe and reliable railway infrastructure. A lack of safety and inefficiency may reduce the reliability of train travel, decrease public usage and cause economic damage, including heavier road traffic, more air pollution, and diminish to the quality of life in general.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Railway accidents are generally attributed to several factors, such as the human factor, which include the driver’s failure to notice and respond to obstacles on the track, the driver’s ability to react to potential dangers, and the driver’s field of view, which is made worse in poor lighting or severe weather conditions. Other factors that cause railway accidents include faults in the railway track signaling system, damaged infrastructure, and weather conditions such as rain, fog and snow.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a March 2021 “Safety Overview 2021” report of the European Union Agency for Railways there were 1,552 significant accidents resulting in 824 fatalities and 618 serious injuries in 2019 in the EU representing an economic costs of about €3.5 billion per year. According to the U.S. Department of Transportation, in 2020, in the U.S. there were 8,107 train accidents and 698 fatalities (including derailments, collisions and level railway track crossing incidents).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braking distance required for a train to stop, train operators require advanced notice to stop a train in time and avoid an obstacle on the track. The braking distance of a passenger train traveling at a moderate speed (i.e., 87 mi/h) is between 600 and 800 meters; freight trains typically require a similar distance to safely brake – depending on the load size and speed of the train. Human operators, however, do not have the capacity to detect obstructions on the railway track, and halt a train within these braking distances. Our advanced technology is designed to address this human deficiency.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railway detection system monitors the short and long-distance region of interest in front of the train, at an operational range of up to 2,000 meters (1.2 miles), which is longer than the braking distance of most trains. Our system is designed to detect, classify and alert train operators on real-time railway track obstacles, which allows the train operator to make educated decisions in how to best operate the train, and to decide whether it is necessary to stop to avoid a collision. Additionally, after being integrated into the train’s computer, our railway detection system’s artificial intelligence capabilities will facilitate by taking emergency autonomous actions, such as halting the train’s acceleration, braking once an obstacle is classified, sounding a horn and flashing lights to alert others.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several years, there has been an increased demand for automated solutions in railway detection systems to make train travel safer and more efficient. There are several technological systems available in the market today that have been designed to reduce the risk of railway accidents, to avoid injuries and damage to property, to limit unplanned closures of railway tracks, to make railway transport more efficient, and to increase the usage of existing railway infrastructure. Generally, such railway detection systems fall into two main categories – those which are installed on the train (such as our railway detection system), and those that are fixed signaling systems installed as part of the stationary infrastructure.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market potential for our railway detection systems that are installed on the train is large and ever growing, as every single railway train or drivers’ cabin worldwide is a potential customer. Based on our own internal research, we estimate there are approximately 300,000 potential customers, and if considering two (2) systems per loco for each direction the potential can go significantly higher.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2018 estimates of SCI, the global market for railway technology is estimated at approximately $200 billion with a steady growth curve of 2.8% per year. According to currently displayed statistics on the U.S. Department of Transportation’s website, the freight train industry in the United States is estimated at approximately $80 billion, as determined by the by the seven Class 1 railroads operating in the United States. Additionally, according to the U.S. Department of Transportation it is estimated that $25 billion is spent annually on maintaining and adding capacity to freight railroads. Also, according to McKinsey &amp; Company, in 2016, the cost of infrastructure maintenance and renewal exceeds €25 billion per year across Europe, and is rising. Moreover, according to a September 2021 publication by Global Market Insights, the railway aftermarket size was expected to exceed $78 billion in 2020 and is anticipated to grow at approximately $3.5 billion per year, a CAGR of over 4.6% from 2021 to 2027.</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Railway tracks are a controlled environment, usually owned by one entity in the country where they are located. An obstacle that causes an accident on a train carrying hundreds of passengers or hauling thousands of tons of cargo might be a significant cost in the event of an accident due to injuries and damaged property. In addition, the section of track that is damaged or occupied with the stuck train, which is in any event restricted infrastructure, has to be closed until the investigation is completed, debris is collected and the infrastructure is checked for safety before train travel on the railway tracks can continue. This affects the timetable of many other trains, which causes an increase in downtime and the associated financial loss of such downtime. In addition, the reputation of the train operator is damaged, and as a consequence, the train operator may experience a decrease in business.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The Current Train Vision Market Status and the Transition to Autonomous Train Vision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trains are equipped with certain advanced automated technologies to assist railway operators such as Automatic Train Control, or ATC, and Automatic Train Protection, or ATP. ATC is a general group of systems that include mechanisms for controlling a train’s speed in response to receiving external data. ATP is a system that, among other things, continuously verifies that the train’s speed complies with the permitted speed.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ATC and ATP systems, there are currently other available technologies for Automatic Train Operation, or ATO, which include components to promote safety and control all stages of operating the train, from acceleration to precision stopping. While there are various levels of implementation of ATO, the most common use of ATO is on underground railways. For example, the London Underground uses semi-automatic train operation on certain lines. The Light Railway in eastern London is even more advanced, and the driver’s cabin has been replaced by a controller.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ATO covers five Grades of Automation (GoA):</w:t>
      </w:r>
    </w:p>
    <w:p>
      <w:pPr>
        <w:spacing w:after="0" w:line="225" w:lineRule="exact"/>
        <w:rPr>
          <w:sz w:val="20"/>
          <w:szCs w:val="20"/>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0 refers to a train with a human driver who exercises full control of the train – starting, stopping, opening and closing doors, and operation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1 refers to operation where the driver controls starting and stopping the train, operation of doors, emergencies and sudden deviations, with the assistance of ATP systems.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2 refers to semi-automatic operation, where stopping is automatic, but the driver starts the train, operates the doors, and drives the train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3 refers to operation without a driver, where starting and stopping is automatic, but the controller operates the doors and drives the train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4 refers to train operation without supervision; starting, stopping, door operation and operation in emergencies is all automatic with no staff on the train.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railway companies will gradually implement autonomous trains. While a full transition to autonomous trains will require the development of additional technologies beyond those currently available, we believe that our obstacle detection technology has the potential to advance GoA 3 and GoA 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autonomous train vision being promoted worldwide, an automatic detection system will be required to enable train operators to detect obstacles in the train’s travel route beyond the braking distance of a train. An automatic detection system has about twice the human detection capabilities during the day, and much more at night. As part of our efforts to advance operating levels of GoA 3 and GoA 4, we are investing efforts in collaborations with train operators and train manufacturers to examine the integration of our railway detection systems within various trains. We focus on detection systems, whereby the additional auxiliary systems required for an autonomous train (ATC and ATP systems) will be provided by other manufacturers. Our railway detection system is a standalone product that does not require any supportive additional equipment. The interface with an ATO concept of operation can be done at a later time, since our railway detection system, once engaged, can be used regardless of the integration with other autonomous technologies.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GoA 4 freight trains already operate in certain parts of the world (such as Rio Tinto Australia, and Iron Ore Canada). We believe that our railway detection systems are ideal for these trains, and part of our strategy is to engage and collaborate with the operators of these trains. To that end, we have signed a contract to supply demonstrations over several months of testing with the Autonomous GoA4 rail operator Rio Tinto Iron Ore, as described below.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Beyond GoA 4 freight trains, there are some very specific environments where trains are operated without drivers and rely on signaling systems and a sterile testing environment, such as train lines in airports or underground train lines. Such autonomous lines are rare and can only be implemented if the conditions are precise. These types of trains require a safety infrastructure that is separate from the railway track in the external environment. This infrastructure is expensive to build and maintain, and therefore is not a viable option for most operators. While these types of trains are rare and not our main strategic focus, we do believe that our system will be ideal for these trains as well, as they require a solution that is installed on the train and capable of timely identifying potential hazards on and around the track.</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develop solutions for a number of verticals in the railway market:</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RV2000 system for Main Line passenger and freight trains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RV2000 Main Line System is an application of our railway detection system that includes an external sensor unit installed on the train along with an on-board computer system (see below). The on-board computer system receives data from the external sensor unit and uses artificial intelligence to perform algorithmic calculations in real time to identify potential hazards for the train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123190</wp:posOffset>
            </wp:positionV>
            <wp:extent cx="4320540" cy="2348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205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railway detection system is designed to discover and warn the train operator about hazards of up to 2,000 meters (1.2 miles) ahead of the train. To detect hazards up to this distance, our railway detection system is dependent on a continuous line of sight that is not obscured by buildings, curves in the track, or dense fog which can limit the detection range.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braking distance of a train traveling at high speeds of about 160 KPH / 100 MPH is approximately 800 meters (0.5 miles). The RV2000 railway detection system has been optimized to identify hazards at a distance more than 800 meters (0.5 miles) to provide the train operator with enough time to react to the hazard, and stop the train if necessary. The braking distance of the train may differ as a result of various factors, including weather conditions and the total weight of the train.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railway detection system can technically interface with the train’s control and monitoring systems, such as the brake system. This interface is achieved by setting up a communication interface between our railway detection system and the train’s existing operating system. However, interfacing with the brake system or other systems of a train will require compliance with a more stringent level of train safety (SIL) than the current safety levels we are certified for, as of the date of this Annual Report.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railway detection system is designed to classify objects, detect their location on the track, and detect the position of the switch. The switch is a device that is part of the railway track and is used to switch between two adjacent tracks or merge two tracks into one track. It is important to detect the position of the switch because the switch selects the train’s continued direction from the main track line on which the train is currently riding to another rail.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advanced prototype of the RV2000 system was completed and finalized its first field test phase with Israel Railways in March 2022. We are now updating the system and working on the next version of the system.</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12, 2021, we signed a non-binding memorandum of understanding with Israel Railways Ltd. The memorandum of understanding states that Israel Railways will conduct a Long-Term Pilot (LTP) of the RV2000 system on its freight trains. Israel Railways will consider placing a purchase order for 6 to 10 units of our RV2000 system, so long as we are successful in meeting the pre-defined criteria and regulation approvals that Israel Railways require. The RV2000 system LTP began on December 7, 2021 (see image below). The potential sales opportunity with Israel Railways for our RV2000 system to be installed on up to 200 trains and assuming we can negotiate bidirectional installation, the potential sale opportunity could be doubled to install up to 400 RV2000 systems on up to 200 trains. The memorandum of understanding was extended on November 10, 2021 and on February 6, 2022 and expires on May 31, 2022, if not further extended.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1725295</wp:posOffset>
            </wp:positionH>
            <wp:positionV relativeFrom="page">
              <wp:posOffset>500380</wp:posOffset>
            </wp:positionV>
            <wp:extent cx="4071620" cy="2297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0716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Rio Tinto Iron Ore, or RTIO, the world’s second-largest metals and mining corporation has engaged us to work on part of its AutoHaul autonomous train to improve train safety. RTIO has 60 operations in 35 countries, has 47,500 employees and 2,000 customers. The RTIO fleet is autonomous, and does not have the technical capability to foresee any obstacles or anomalies in front of the moving train. As such, RTIO is exploring solutions that can detect, alert and respond to an obstacle on the tracks. In April 2021, we entered into an equipment, personnel and services supply agreement with Hitachi Rail STS Australia Pty Ltd., or STS, which enables STS, as the principal supplier, to supply Rio Tinto Railway Network with our RV2000 system for demonstrations and to examine the RV2000’s operational performance. If the tests are successful, Rail Vision has the potential to install its RV2000 system on Rio Tinto Railway Network’s fleet of about 220 trains, with the RV2000 system integrated by STS as the project integrator. We have performed the data acquisition phase and started the Long Term Pilot (LTP) as of May 2022. The LTP will last approximately three months with an option to extend the LTP for an additional six months in different use-cases.</w:t>
      </w:r>
    </w:p>
    <w:p>
      <w:pPr>
        <w:spacing w:after="0" w:line="188" w:lineRule="exact"/>
        <w:rPr>
          <w:sz w:val="20"/>
          <w:szCs w:val="20"/>
          <w:color w:val="auto"/>
        </w:rPr>
      </w:pPr>
    </w:p>
    <w:p>
      <w:pPr>
        <w:ind w:left="820" w:hanging="174"/>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RV200 system for the Shunting Yard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RV200 system used at the shunting yard is meant to streamline work in the operational areas of railways (shunting yards) which are used for the assembly, loading and unloading of freight trains.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shunting yard application of the railway detection system consists of two external sensor units installed on either side of the locomotive that are linked to the central processing unit inside the train, and uses algorithms, artificial intelligence/deep learning neural nets, to classify these obstacles in real time, at a range of up to 200 meters on and beside the track, under severe weather and poor visibility conditions. These warnings are shown to the driver with some recommendations to stop or slow down. The system also has the technical ability to interface with the locomotive’s control systems, such as the train’s brakes. This is done by setting up a communication interface with existing systems in the train and doing so in accordance with the customer’s requirements. However, interfacing with the brakes or other systems in the locomotive requires compliance with a stricter Safety Integrity Level (SIL) than the levels for which we have currently have obtained certification (SIL 0). Rail Vision has completed a homologation process of a drive assist system on trains in a use-case of Switch Yard (SIL-0 according to EN50126).</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2020, we supplied a prototype of the RV200 system to Schweizerische Bundes Bahnen Cargo, or SBBC, for functional testing, which began in April 2021, to test the system for compliance and the system’s ability to better integrate during actual work for a potential customer (Open Field Test – OFT). For additional information, see “Business and Marketing Strategy” – “Locomotives for shunting yards,”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2059940</wp:posOffset>
            </wp:positionH>
            <wp:positionV relativeFrom="page">
              <wp:posOffset>500380</wp:posOffset>
            </wp:positionV>
            <wp:extent cx="3402965" cy="4518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2965" cy="451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20" w:hanging="17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Light Rail Vehicle (LRV RV100) system for light rail and subways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cities utilize light railways and underground railways as part of the city’s public transportation system. Light railways in cities also intersect with travel environments used by vehicles and pedestrians alike. This hybrid use of a road by cars, trains and people, causes a greater risk of traffic safety incidents.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LRV RV100 system helps to increase travel safety with the use of advanced technologies that provide real-time warnings of obstacles on the track by utilizing sensors and cameras with a broad field of vision. Since this is a passive detection and classification system (detection through information receiving cameras, without transmission or radiation), as distinct from active systems (detection by receiving back signals transmitted by the system) based on radar (an electronic system for detection of and tracking location of objects in the space using electromagnetic radio waves) or LIDAR (distance measuring technology by lighting the target with a laser beam), the LRV RV100 system does not create radiation hazards and does not interfere with the operation of other systems.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Using a passive railway detection system allows for safer use in populated areas as there is no transmission of electromagnetic radiation, which could endanger passers-by. In addition, because the system does not transmit, the likelihood of false alarms is lower. Another advantage of a passive railway detection system is that it does not interfere with other systems operating in its vicinity and is not affected by other systems.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camera-based railway detection systems have a much better resolution and can detect and classify potential hazards with higher expected performance than the human eye. On the other hand, passive railway detection systems are subjected to light conditions and sensor performance, mainly in VIS wavelength range, which can affect the performance of camera-based railway detection systems.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systems also allow for flexibility in algorithmic and software updates with relative ease due to the use of updatable components, unlike the current practice in the motor vehicle industry that are based on ASIC components that cannot be updated as easily. We have demonstrated a preliminary prototype of the LRV system and are currently reviewing our collaborations with our development partners. For more information, see details below under the “Light Rail Vehicle” and “Commercial Agreements—LRV System MOU” sections.</w:t>
      </w:r>
    </w:p>
    <w:p>
      <w:pPr>
        <w:spacing w:after="0" w:line="180" w:lineRule="exact"/>
        <w:rPr>
          <w:sz w:val="20"/>
          <w:szCs w:val="20"/>
          <w:color w:val="auto"/>
        </w:rPr>
      </w:pPr>
    </w:p>
    <w:p>
      <w:pPr>
        <w:ind w:left="820" w:hanging="17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Predictive maintenance applications based on measurements and data collection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Another module to our railway detection systems, currently in the beginning stages of development, is a plan to enable the constant monitoring of railway infrastructures to warn of potential malfunctions or defects – such as damage to railway tracks, electrical problems in infrastructure components, unstable electrical pylons next to the tracks, and vegetation invading the track – which could result in interference with train traffic. The early detection of such problems could be the basis of long-term planning of maintenance work. These features of the railway detection system will also provide another means of helping railway companies manage maintenance efficiently, leading to savings in time, money and labor, and prevent unplanned down time. As of the date of this Annual Report, we are still developing this infrastructure. We are in the process of working with a customer to build a railway detection system that will only focus on infrastructure inspection. This new module will be based on our sensors and algorithmic capabilities, utilizing cloud computing to handle data collections and measurements.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and Marketing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vision is to become a global leading developer and supplier of innovative railway detection technologies to the railway industry. We believe that our advanced technologies will enable safer train driving, reduce train accidents, increase the flow of traffic, and save money for our customers. We also believe that the transition to autonomous train driving will not occur without an advanced detection system such as ours.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focus on the following three main segments of the market as described above: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Locomotives for shunting yards </w:t>
      </w:r>
      <w:r>
        <w:rPr>
          <w:rFonts w:ascii="Times New Roman" w:cs="Times New Roman" w:eastAsia="Times New Roman" w:hAnsi="Times New Roman"/>
          <w:sz w:val="18"/>
          <w:szCs w:val="18"/>
          <w:color w:val="auto"/>
        </w:rPr>
        <w:t>– We have focused on selling the RV200 system to shunting yard operators. Our railway detection system for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segment is at a relatively advanced stage, as we have a prototype of the RV200 system that is being tested by SBBC, a freight train company in Switzerland. Upon successful completion of the railway detection system tests at SBBC, we expect that this prototype will lead to an order from SBBC by the end of 2022, or the beginning of 2023. We have received a proof of concept to examine the Rail Vision system. As a result, we hope to achieve further sales in this market segment once the railway detection system successfully completes its operational test. Furthermore, we believe that SBBC’s reputation will assist us in the promotion and sales of our railway detection systems to other customers in this segment. If the transaction with SBBC evolves into an order, we expect SBBC to order several dozen of our railway detection systems.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Locomotives for passenger and freight trains </w:t>
      </w:r>
      <w:r>
        <w:rPr>
          <w:rFonts w:ascii="Times New Roman" w:cs="Times New Roman" w:eastAsia="Times New Roman" w:hAnsi="Times New Roman"/>
          <w:sz w:val="18"/>
          <w:szCs w:val="18"/>
          <w:color w:val="auto"/>
        </w:rPr>
        <w:t>– Our main area of activity is the RV2000 system, which is designed for passenger and freight trains.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strategic focus on this market segment derives from the fact that it includes the largest number of trains, and that the trains operating in this market segment are exposed to serious risks and the realistic probability for potentially fatal accidents. We invest significant efforts in promoting sales to passenger and freight train operators. The sales processes for this market segment includes a demonstration of the system’s capabilities according to specific requirements of each train operator. In addition, we are engaged in the process of licensing systems that are intended for this market segment on the assumption that obtaining a permit in one country may significantly facilitate the licensing process in another country. The development process of this railway detection system is ongoing and is expected to be completed during 2022.</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Light Rail Vehicle (LRV) </w:t>
      </w:r>
      <w:r>
        <w:rPr>
          <w:rFonts w:ascii="Times New Roman" w:cs="Times New Roman" w:eastAsia="Times New Roman" w:hAnsi="Times New Roman"/>
          <w:sz w:val="18"/>
          <w:szCs w:val="18"/>
          <w:color w:val="auto"/>
        </w:rPr>
        <w:t>– We are in the process of developing an LRV system that will be designed for the light rail market segment.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exploring the possible collaboration with some car manufacturers. The development plan will be aligned to match the needs of the car manufacturer.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Our strategic focus is reflected in our marketing strategy:</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on increasing our marketing and sales department to reach more potential customers. Increasing the number of sales and marketing personnel will enable us to initiate and create additional opportunities while the sales and marketing personnel focus on and specialize in the territories that our strategy defines as most relevant.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focused on the following markets: North America, Europe and Asia Pacific. The reason for the focus on these markets stems from an analysis we conducted to identify the most relevant countries likely to adopt our railway detection systems. We have defined several parameters which may indicate commercial viability of the market relevant to our railway detection systems. The parameters examined by us included, among other things, the total length of the railway tracks in the country examined, the number of passengers per kilometer/ mile of track traveled, the number of tons of goods per kilometer/ mile of track transported, the total number of trains in the country, the level of innovation in the country, and the openness to integrate new technologies.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investing in efforts to create and develop collaborations with leading train manufacturers. These collaborations are meant to be long-term, with the aim of integrating our railway detection systems into the future production lines of these train manufacturers. We believe that the railway detection systems we develop will be an integral part of future trains, and therefore it is important to invest marketing efforts as early as possible to promote partnerships with train manufacturers and increase market adoption of our railway detection systems.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develop our strategic partnership with Knorr-Bremse to serve as a non-exclusive distributor and be a local partner engaged in marketing, sales and the implementation of projects, including integration, installation and services regarding our products in the relevant markets in which Knorr-Bremse operates worldwide. As part of this marketing strategy, we will seek the assistance of Knorr-Bremse’s marketing team. We intend to provide marketing and training materials to Knorr-Bremse’s marketing staff to enable them to promote and sell our products to their existing customers.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invest in advertising in traditional industry channels, social media networks and digital channels to better advertise and market our railway detection systems to potential customers in the railway industry.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strive to increase collaborations with other companies operating in the railway industry, such as communications companies that are engaged in constructing communications infrastructure or companies that manufacture complementary products for the railway industry. Collaboration with types of companies may provide added value to our customers, whether it be in the field of data communications where customers seek to transfer data in real time from the trains to the control centers, or through cooperation with companies that manufacture additional auxiliary systems, such as sign manufacturers, and manufacturers of automatic coupling systems (systems that enable automatic coupling between a locomotive and a carriage or between carriages for towing) where our systems will provide a complementary solution.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 data – Following the dissemination of our technology and products among many customers, we intend to offer our customers predictive maintenance services and digital mapping services based on the gathering of the visual information stored in its systems. We see big data services as one of its most important growth engines in the next 3-5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Products and Applications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exploring a number of additional railway detection system applications that are in various stages of research and development,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Maintenance and predictive maintenance: </w:t>
      </w:r>
      <w:r>
        <w:rPr>
          <w:rFonts w:ascii="Times New Roman" w:cs="Times New Roman" w:eastAsia="Times New Roman" w:hAnsi="Times New Roman"/>
          <w:sz w:val="18"/>
          <w:szCs w:val="18"/>
          <w:color w:val="auto"/>
        </w:rPr>
        <w:t>customers who have installed Rail Vision systems for real time identification of objects,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of receiving predictive track maintenance services, such as identification of vegetation invading the tracks, damage to infrastructures, sunk pylons, etc. This railway detection system application will be able to collect the data from the sensors and check for any changes in and around the track infrastructure in order to indicate possible defects in the infrastructures. Currently, this application is at the initial R&amp;D stage only. A potential customer ordered a data acquisition and demonstration phase that was successfully completed in March 2022. We are engaged in technical discussions with the customer for a potential project.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Mapping and updates – Geographic Information Systems (GIS)</w:t>
      </w:r>
      <w:r>
        <w:rPr>
          <w:rFonts w:ascii="Times New Roman" w:cs="Times New Roman" w:eastAsia="Times New Roman" w:hAnsi="Times New Roman"/>
          <w:sz w:val="18"/>
          <w:szCs w:val="18"/>
          <w:color w:val="auto"/>
        </w:rPr>
        <w:t>: since trains travel the same route several times a day, the comparison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data received by our railway detection system can discover infrastructures such as posts, signaling systems, electronics boxes, and check their actual location using system measurements based on an image-based navigation (IBN) algorithm, and compare the data with existing records and provide updates. This saves both time and money, as the expense of remapping a railway track is rarely done, and usually forces stretches of track to be closed for such updates. This application of our railway detection system is at the proof of concept (POC) stage of initial research and development.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Big Data</w:t>
      </w:r>
      <w:r>
        <w:rPr>
          <w:rFonts w:ascii="Times New Roman" w:cs="Times New Roman" w:eastAsia="Times New Roman" w:hAnsi="Times New Roman"/>
          <w:sz w:val="18"/>
          <w:szCs w:val="18"/>
          <w:color w:val="auto"/>
        </w:rPr>
        <w:t>: this application of our system will be based on long-term collection of data from Company’s sensors installed on trains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data on infrastructure, train traffic and the surroundings. Analysis of the data will generate reports showing trends in driver behavior and the surrounding area and conditions, which will help train operators reduce downtime caused by infrastructure problems, and improve the synchronization of trains, as required by the customer.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this application is only at the start of the research and development stages and is also conditioned on the installation and operation of about one hundred railway detection systems in order to obtain sufficient data for its operation, assuming the successful completion of its development.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offer the Big Data applications as an added value to our system to be installed at the customer and not as a separate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Knorr-Bremse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a series of strategic and investment agreements with Knorr-Bremse or affiliates of Knorr-Bremse. Knorr-Bremse is a 110 year old multi-billion dollar market cap company traded on the Frankfurt Stock Exchange. With more than 30,000 employees at over 100 locations in more than 30 countries around the globe Knorr-Bremse is a world leader in braking &amp; peripheral systems generating total of sales of EUR 6.7 billion in 2021. As one of our strategic investors, Knorr-Bremse has invested approximately $25 million in us. See “Major Shareholders and Related Party Transactions— Related Party Transactions—Knorr-Bremse”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KBCH Framework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2020, we entered into a framework agreement, or the Framework Agreement, with KBCH (a subsidiary of Knorr-Bremse operating in Switzerland) regarding the supply of a prototype of our system to the shunting yard of a company operating cargo trains in Switzerland, or SBBC. Under the Framework Agreement, we provided KBCH one prototype of the system which was installed on an operating locomotive in an SBBC shunting yard, for the purpose of examining the operational performance of the system, or the Operational Function Test. In consideration for the prototype provided in October 2020 for the Operational Function Test, KBCH paid us approximately EUR 244,000 (approx. $293,000). In addition, in order to support the operational performance test procedure, which began in April 2021, we undertook to provide various professionals, as needed, in exchange for payment at the maximum rates and amounts determined in the Framework Agreement. In addition, the Framework Agreement determines a division between us and KBCH regarding additional support actions for SBBC, as needed, in the Operational Function Test process. During 2021, KBCH paid the Company a total of additional approximately EUR 110,000 (approximately $125,000).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LRV System MOU</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17, 2020, we entered into a non-binding Memorandum of Understanding with Knorr-Bremse, or the MOU, regarding cooperation between the parties with respect to LRV systems. Under the MOU, we undertook to make further adjustments and/or development to the LRV system, if required by Knorr-Bremse and agreed by us. Knorr-Bremse undertook to indemnify us for any costs of such adjustments and developments, subject to prior approval by Knorr-Bremse. It was further agreed that in case, Knorr-Bremse purchases an LRV system it will be offered at a discount to compensate for the adaptation and development cost. In addition, it was agreed that the parties will negotiate a detailed cooperation agreement in good faith, in which they will determine, among other things, the terms of sale of the LRV systems by us to Knorr-Bremse.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MOU will be in effect from the date of its signing until the earliest of: (a) the signing of a binding cooperation agreement between the parties which will replace the MOU; (b) a notice by one of the parties that it is interested in terminating the MOU and the negotiations between the parties on the cooperation agreement; or (c) 12 months from the date of signing the MOU. Accordingly, the MOU expired in September 2021. Following the signing of the MOU, in December 2020, Knorr-Bremse placed a purchase order to us for developing two prototypes of the LRV system according to specifications required by Knorr-Bremse. In return for the development of the two prototypes, Knorr-Bremse paid us a total of approximately EUR 397,000 (approximately $476,000). As of December 31, 2021, the Company completed its commitment according to the Purchase Order for the development and sale of the two prototypes of the LRV system to Knorr-Bremse.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19, 2021, we entered into a Strategic Partnership Agreement with Knorr-Bremse. Under the terms of the Strategic Partnership Agreement, we will collaborate with Knorr-Bremse with respect to joint projects, based on the following principles: (a)(i) the expansion of the Knorr-Bremse Railway Driver Assistance Systems to the field of environmental observation, or (ii) future collaboration in the areas of barrier identification and classification systems in the railway industry; and (b) as part of the framework, we will provide Knorr-Bremse the technology needed in order to fulfilling the customer’s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further provides, among other things, that (i) in the event that a customer is presented to us by Knorr-Bremse, subject to the certain conditions, Knorr-Bremse will be entitled to serve as the main contractor for such project, (ii) for any joint project, the parties will mutually agree on the identity of the main contractor and (iii) we will instruct and train the local Knorr-Bremse missions to provide field support services for our systems.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implementation of the terms of the agreement is subject to future approvals and agreements between the parties and third parties, including transactions that may be subject to the related party transaction rules under the Companies Act, and, as such, there is no certainty that such transactions will be executed, in whole or in part.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the agreement will expire three years after the date of the agreement, or August 19,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Knorr-Bremse has been in the railway business for 110 years, as a world leader in braking and other system operations. Knorr-Bremse has a global presence with 30,000 employees at 100 sites in 30 countries and is trading on the Frankfurt Stock Exchange with sales totaling €6.7 billion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Israel Railways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3, 2016, we entered into a Cooperation Agreement with Israel Railways Ltd. (a governmental company fully owned by the State of Israel), which was further amended on January 19, 2020.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undertook to fulfill certain functions for the development, marketing, distribution and sale of the system, and Israel Railways undertook to provide us with services and the means to perform tests and experiments, mainly in logistics and manpower, and to provide us with information on certain data that will be given at the discretion of Israel Railways.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agreement, we agreed to pay Israel Railways the following payments: (i) during the period from August 3, 2016 and until the earliest of (a) a period of 5 years from the date of our first commercial sale or (b) our initial public offering on April 4, 2022 or (c) a change of control (as defined in the agreement), Israel Railways will be entitled to a payment of royalties in the amount of 2.75% of our net sales, and (ii) during the period from August 3, 2016 until the earliest of: (a) our initial public offering on April 4, 2022 or (b) a change of control (as defined in the agreement) Israel Railways will be entitled to 1.5% of the total proceeds from an IPO or consideration, received by us or our shareholders, as a result of a change of control.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the completion of our initial public offering, the Israel Railways became entitled to a consideration of 1.5% of the actual proceeds from our initial public offering, which was approximately $213,000, and accordingly their right to royalties has expired.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agreement further provides that Israel Railways will be entitled to purchase our products and services at a price equal to half the lowest price charged by us for those products and services to an unrelated third party.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part of the agreement and in consideration for services provided to us by Israel Railways, we granted Israel Railways warrants to purchase 195,448 of our shares with a nominal exercise price. The option was initially exercisable upon the earlier of an IPO or a change of control. On July 1, 2021, we amended the warrant to extend the exercise period, until the earlier of: (1) five business days following the day in which Israel Railways obtained the necessary Governmental Approvals (as defined below); or (2) one year from the date of amendment of the option agreement, or June 30,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30, 2021, Israel Railways informed us that the board of directors of Israel Railways approved the exercise of the option. The approval by the board of directors of Israel Railways is subject to the certain governmental approvals in Israel, or the Governmental Approvals, by the Minister of Finance, the Minister of Transportation, the Budget Director in the Ministry of Finance and the Director of the Government Companies Authority. Currently, the decision of the board of directors of Israel Railways did not obtain the necessary Governmental Approvals.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either party by providing a 60 days prior written notice. In addition, Israel Railways may terminate the agreement with 30 days prior written notice in the event of a change of control in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still in the development stage and many of our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In particular, we operate in a market where most of our competitors are giant corporations such as Bosch Engineering GmbH, ALSTROM Holdings, Bombardier Transportation, Siemens Mobility GmbH, Toshiba Infrastructure Systems &amp; Solutions Corporation and Mobileye Vision Technologies Ltd, with others such as 4Tel Pty Ltd and Cognitive Robotics LLC. Current and future competitors may be able to respond more quickly to new or emerging technologies and changes in customer demands and to devote greater resources to the development, promotion and sale of their products than we can.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Unlike some of the competitors that have used existing systems from the motor vehicle world and adjusted them to the railway environment, we develop our railway detection systems from the beginning to operate on trains. Additionally, in terms of the ability to identify hazards at far longer distances, our railway detection system functions can not only discover obstacles on the tracks but also identify these obstacles. We believe that our railway detection system’s contribution to train safety will be greater than that of existing railway detection systems by our competitors. Thus, by our estimate, the railway detection systems offered by competitors for mainline trains have relatively limited capabilities compared to the capabilities of our RV2000 system. From our own analysis, we believe that our competitors offer a shorter range-detection distance and provide a lower detection probability of obstacles than the railway detection systems we have developed.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competitors offer a shorter range-detection distance and provide a lower detection probability of obstacles. Our systems consist of electro-optic sensors using artificial intelligence for automatic identification, classification of obstacles along the tracks at distances which, to the best of our knowledge, are longer than those of the competition. Our railway detection systems also have a greater degree of accuracy and higher probability to detect obstacles, which, to the best of our knowledge, results in fewer false alerts compared to competing products.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Apart from the expected contribution of our systems to increase the safety of train operations, our railway systems are also designed to help in predictive maintenance of railway infrastructure, due to the constant monitoring of the railway tracks by its sensors. As far as we know, this function does not exist in any competing systems.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best of our knowledge, several competing companies are developing systems to help drivers. Some derive from the world of trains, others from the wheeled vehicle industry. These companies adapt technologies from the vehicle industry for use with trains, for long distance identification of hazards, particularly in the LRV segment. These technologies are generally based on LIDAR technology and/or radar scans with cameras, and as far as we know, have not yet been shown to be suitable for the railway environment, in terms of discovery ranges and required performance. In addition, we don’t expect our LRV system to be sold at a lower price than competitors’ prices due to our use of more advanced components than our competitors.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We differentiate our systems by focusing on their unique ability to use AI algorithms in real time to provide alerts to the driver throughout the entire drive. In our estimation, the advantages of our technology over the competition are:</w:t>
      </w:r>
    </w:p>
    <w:p>
      <w:pPr>
        <w:spacing w:after="0" w:line="162" w:lineRule="exact"/>
        <w:rPr>
          <w:sz w:val="20"/>
          <w:szCs w:val="20"/>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railway detection system is based on passive technology that uses video images or thermal images, unlike other railway detection systems that are based on obstacle discovery using radar or lasers (which emit radiation along the railway track) in train stations, and already exist in the market for LRV and in level crossing – we do not know of any other system that reaches 2 kilometers classification.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several field trials, our railway detection systems have shown an ability to identify objects at distances of up to 2,000 meters. Discovering obstacles at a long range is essential for effectively discovering obstacles since there is a long braking distances required by trains to come to a complete stop from the time the obstacle is identified.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railway detection systems, compared to LIDAR technology, are less sensitive to platform speed or rocking motions, higher resolution and are able to classify obstacles at longer distances compared to competing railway detection systems.</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detection systems are based on passive technology, and are therefore not exposed to interference due to hot spots and reflection overload. Other technologies such as radar are sensitive to the presence of metallic objects (such as screws, springs and other metallic objects etc.) which are often found on or near railway tracks.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following table gives representative details of various solutions currently available on the market in the field of identifying obstacles on railway tracks. The following information is based on our beliefs, has been provided to us from publications by the various competitors listed below and has not been independently verified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123190</wp:posOffset>
            </wp:positionV>
            <wp:extent cx="5160645" cy="2897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6064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500380</wp:posOffset>
            </wp:positionV>
            <wp:extent cx="5160645" cy="3248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16064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competitive approach is in developing a unique know-how, achieving an advantage and differentiating our railway detection system technology by incorporating advanced technological solutions. We believe that the railway detection system we are developing can provide an effective economic solution for our customers, which includes a return of the investment brought about by the railway detection system’s contribution to the train’s increased safety, the prevention of accidents and unplanned delays in train traffic, and improving the accuracy of railway operations, all of which can save railway operators extensive operating costs.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Another advantage of our railway detection system is the option, currently in development, to use the system as an aid to predictive maintenance of railway infrastructure due to the system’s continuous monitoring of the railway tracks on which it travels.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Apart from that, we engage the competitive landscape by developing new products, and to the extent that such developments are successfully completed, these products will enable us to face the competition. To provide our customers with additional added value, we are developing maintenance, predictive maintenance, Big Data and GIS services, which may be added on top of our existing system components to make our railway detection system more attractive to the customer.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our railway detection system regularly monitors railway infrastructures and tracks, the system can record and store visual information. Huge amounts of data are built up (Big Data) which, subject to contractual and legal restrictions, could be available to customers for purposes such as identifying possible gaps and faults in tracks and other infrastructure, and updating maps. This capability is an added value to the existing system. To the best of our knowledge, Siemens Mobility GmbH and the 4Tel Pty Ltd company also use infrastructure monitoring capabilities that are based on artificial intelligence. We have no information about the veracity of this competitor’s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autonomous train industry continues to develop, regulators, including the FRA and the ERA, may adapt existing regulations and create new ones in order to ensure the compatibility of autonomous trains and autonomous train technology with regulatory expectations, requirements relating to safety and legal liability. On March 29, 2018, for instance, the FRA issued a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subject to a number of laws and regulations that involve matters central to our business. These laws and regulations involve privacy, data protection, intellectual property, competition, and other subjects. 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global laws and regulations have continued to develop and evolve rapidly, it is possible that we may not be, or may not have been, compliant with each such applicable law or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seek patent protection as well as other effective intellectual property rights for our products and technologies in the United States and internationally. Our policy is to pursue, maintain and defend intellectual property rights developed internally and to protect the technology, inventions and improvements that are commercially important to the development of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eight registered patents and 31 pending patent applications. Failure to gain approval for the patent applications filed by us or a change in the patents granted to us, in whole or in part, and the promotion and creation of alternative technologies to our technology, may adversely affect our status and ability to sell the system developed by it.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provisional patent application is a preliminary application that establishes a priority date for the patenting process for the invention concerned and provide certain provisional patent rights.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Despite our efforts to protect our intellectual property,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“Risks Related to our Intellectual Property.”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 exposed to claims and/or suits regarding the use of proprietary rights of third parties who received approval for the registration of a patent in respect of an application which had already been filed when we made use of such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pending material legal proceedings. From time to time, we may become a party to litigation incident to the ordinary course of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1, 2022, we have five senior management positions, all of whom are engaged on a full-time basis, one of whom is engaged as a service provider. In addition to our senior management, we have 51 employees and two dedicated service providers, who provide services to the Company as independent contractors, in full or part-time capacities. The majority of our employees are located in Israel.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believe that we maintain good relations with all our employees. However, in Israel, we are subject to certain Israeli labor laws, regulations and national labor court precedent rulings, as well as certain provisions of collective bargaining agreements applicable to us by virtue of extension orders issued in accordance with relevant labor laws by the Israeli Ministry of Economy and which apply such agreement provisions to our employees even though they are not part of a union that has signed a collective bargaining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employment and consulting agreements include employees’ and consultants’ undertakings with respect to non-competition and assignment to us of intellectual property rights developed in the course of employment and confidentiality. The enforceability of such provisions is subject to Israeli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have no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which includes our offices and research and development facility, is located at 15 Ha’Tidhar St., Ra’anana 4366517, Israel, where we currently occupy approximately 14,000 square feet. We lease our facilities and our lease ends in September 2026. At the end of the term, we have the option to extend the lease for an additional five years. Our monthly rent payment is NIS 79,000 (approximately $25,000). In 2023, the monthly rent payments will increase to NIS 82,000 (approximately $26,000), and in 2026, the monthly rent will increase to NIS 83,000 (approximately $26,000).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our current space sufficient to meet our anticipated needs for the foreseeable future and believe our current space is suitable for the conduct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included elsewhere in this annual report.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including those identified in “Cautionary Note Regarding Forward-Looking Statements” and under “Risk Factors” elsewhere in this annual report. Our discussion and analysis for the year ended December 31, 2019 can be found in our prospectus dated March 30, 2022, filed with the SEC on April 1, 2022 (Registration No. 333-262854).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development stage technology company that is seeking to revolutionize railway safety and the data-related market. We believe we have developed cutting edge, Artificial Intelligence, or AI, based, industry-leading technology specifically designed for railways, with investments from Knorr-Bremse, a world-class manufacturer of braking systems and a leading supplier of safety-critical sub-systems for rail and commercial vehicles. We have developed our railway detection and systems to save lives, increase efficiency, and dramatically reduce expenses for the railway operators.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increasing electrification and automation of railways and trains are two key factors that are driving growth in the transportation market. Autonomous trains are integrated with advanced systems to provide improved control over the train for stopping, departing and movement between train stations – for example the operators are aiming to increase the density on a given track that’s to say more trains per kilometer. From everyday passengers to train operators, there is a rising demand for safe, secure, and efficient transport systems. Additionally, various technological advancements, such as the integration of the Internet of Things, or IoT, and AI solutions into railway detection systems, are market categories expected to grow in the coming years. These technologies aid in improving the overall operational efficiency and maintaining freight operations and systems. According to Report Linker, the autonomous train technologies market was valued at USD $7.5 billion in 2020, and is expected to reach USD $10.2 billion by 2026, representing a CAGR of 5.61% for that period.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founding in April 2016, we have developed unique auxiliary systems for railway safety, based on image processing technology that provide early warnings to train drivers of hazards on and around the railway track, including during severe weather and in all lighting conditions. Our unique system uses special high resolution cameras to identify objects up to 2,000 meters away, along with a computer unit that uses AI machine learning algorithms to analyze the images, identify objects on or near the tracks, and warn the train driver of the obstacle and potential danger.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railway detection system includes different types of cameras, including optics, visible light spectrum cameras (video) and thermal cameras that transmit data to a ruggedized on-board computer which is designed to be suitable for the rough environment of a train’s locomotive. Our railway detection and classification system includes an image-processing and machine-learning algorithm that processes the data for identifying potential hazards on and around the track. These algorithms are designed to identify and classify objects such as people, animals, vehicles, bridges, junctions, signs, signals along the track, and anomalies. Our railway detection system actively classifies objects by severity to determine if an alarm should be signaled to the train driver. These data collection and classification capabilities can be extended to further use-cases such as predictive maintenance and big-data analyses.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technology is unique and demonstrates capabilities and results that are better than existing solutions. Most of the currently available safety solutions for the railway industry focus on stationary systems in dedicated hazardous locations, such as at level track crossings and passenger train stations, among others. At these dedicated locations, different technologies are used for detecting obstacles that are on the vicinity of level crossing tracks, and usually include different cameras and radars. The problem with this type of solution is that the train is only monitored at specific points in the railroad junction, leaving the vast majority of the railway unprotected. We can see that the world started to understand the limitations of this solution and therefore we attempt to integrate a collision avoidance system on trains. We believe that our long-range real-time AI and electro-optics technologies solve this problem, as well as providing solutions to most of the challenges train operators face during transit such as collisions, derailments and other accidents caused by obstacles on tracks or poor infrastructure.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 To date, we have not generated significant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personnel expenses (including share-based payment), subcontractor’s expenses and other related research and development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Subcontracted work and consulting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consumables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7,205</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materially increase as we continue to develop our products and recruit additional research and development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expenses, professional service fees for accounting, legal and bookkeeping, facilities, travel expenses and other general and administrative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discloses the breakdown of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600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6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6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6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6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6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other</w:t>
            </w:r>
          </w:p>
        </w:tc>
        <w:tc>
          <w:tcPr>
            <w:tcW w:w="4880" w:type="dxa"/>
            <w:vAlign w:val="bottom"/>
            <w:gridSpan w:val="2"/>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3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vMerge w:val="continue"/>
            <w:shd w:val="clear" w:color="auto" w:fill="CCEEFF"/>
          </w:tcPr>
          <w:p>
            <w:pPr>
              <w:spacing w:after="0"/>
              <w:rPr>
                <w:sz w:val="21"/>
                <w:szCs w:val="21"/>
                <w:color w:val="auto"/>
              </w:rPr>
            </w:pPr>
          </w:p>
        </w:tc>
        <w:tc>
          <w:tcPr>
            <w:tcW w:w="4880" w:type="dxa"/>
            <w:vAlign w:val="bottom"/>
            <w:gridSpan w:val="2"/>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
        </w:trPr>
        <w:tc>
          <w:tcPr>
            <w:tcW w:w="38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8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2021 to the Year Ended December 31, 2020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(7,208)</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(7,205)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(3,316)</w:t>
            </w: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(10,293)</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(10,705)</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for the year ended December 31, 2021 amounted to $7,208,000 representing an increase of $3,000, or 0.04%, compared to $7,205,000 for the year ended December 31, 2020. The increase was primarily attributable to an increase of $520,000 in payroll and related expenses for R&amp;D employees related to cost-cutting measures in 2020 in response to the COVID-19 pandemic (from March to August 2020 we temporarily reduced salaries of our employees in response to the COVID-19 pandemic and we reduced headcount and sent certain employees on unpaid leave) offset by a decrease of $511,000 in share-based payments related to grants dates and vesting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totaled $3,316,000 for the year ended December 31, 2021, a decrease of $184,000 or 5.2%, compared to $3,500,000 for the year ended December 31, 2020. The decrease was primarily attributable to a decrease of $751,000 in share-based payments related to grants dates and vesting periods offset by an increase of $578,000 in professional services for accounting, legal, bookkeeping, transfer agents and facilities expenses related to higher costs of the above services as a public company and one-time expenses for preparing a prospectus for an IPO on the Tel Aviv Stock Exchange that did not materialize.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operating loss for the year ended December 31, 2021 was $10,293,000 compared to an operating loss of $10,705,000 for the year ended December 31, 2020, a decrease of $412,000 or 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 and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expense and income consist of bank fees and other transactional costs and exchange rate differences.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net financial income of $73,000 for the year ended December 31, 2021, compared to net financial expenses of $2,000 for the year ended December 31, 2020. The increase was primarily attributable to exchange rate differences.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for the year ended December 31, 2021 was $10,220,000 compared to $10,707,000 for the year ended December 31, 2020, a decrease of $487,000 or 4.5%.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through December 31, 2021, we have funded our operations principally with approximately $44 million (net of issuance expenses) from the issuance of ordinary shares, Preferred Shares, and warrants. As of December 31, 2021, we had approximately $1,649,000 in cash and cash equivalents. As of December 31, 2020, we had approximately $6,749,000 in cash and cash equivalents.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table below presents our cash flows for the periods indicated: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(increase) in 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9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$9,948,000 during the year ended December 31, 2021 was primarily used for payment of an aggregate of approximately $7,093,000 in salaries and related personnel expenses. The remaining amount of approximately $2,855,000 was used for professional services, travel, rent and other miscellaneous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$7,200,000 during the year ended December 31, 2020 was primarily used for payment of an aggregate of approximately $6,710,000 in salaries and related personnel expenses. The remaining amount of $490,000 was used, $1,122,000 for professional services, travel, rent and other miscellaneous expenses offset by cash provided in an amount of $632,000 as deferred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of $273,000 during 2021 and $122,000 during 2020, primarily reflected the purchase of fixed assets in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711"/>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year ended December 31, 2021 consisted of $5,127,000 of net proceeds from our issuance of Preferred A Shares and exercise of options to purchase ordinary shares. Net cash provided by financing activities in the year ended December 31, 2020 consisted of $4,965,000 of net proceeds from our issuance of Preferred A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19, 2019, we and Knorr-Bremse entered into an agreement whereby Knorr-Bremse invested $9,941,000 (after deducting closing costs and fees) in us in consideration of an issuance of an aggregate number of 40,984 ordinary shares of the Company reflecting a price per share of $244.00 and 655,732 warrants.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agreement, the consideration for the investment was transferred to us in two installments, the first was made upon closing and the second six months therefrom, on September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March 2019, warrants to purchase 81,884 of our ordinary shares were exercised for an aggregate of $470,000.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April 2019, warrants to purchase 303,512 of our ordinary shares were exercised for an aggregate of $1,711,000.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May 2019, warrants to purchase 234,608 of our ordinary shares were exercised for an aggregate of $1,411,000.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On October 13, 2020, we and Knorr-Bremse Systeme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Schienenfahrzeuge GmbH, or Knorr-Bremse, entered into an investment agreement under which we issued 51,282 Preferred A shares to Knorr-Bremse, in consideration of a total investment of $10,000,000. The investment amount was transferred to us in two equal installments, the first installment upon closing and the second installment on April 13, 2021.</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terms of the agreement, we were granted a call option for an additional amount of $5,000,000 at the same price per share and in exchange for the same class of shares. According to an amendment signed by and among the parties the exercise period of the option was extended to be in full force and effect until March 31, 2022. On February 14, 2022, we and Knorr-Bremse signed a second amendment to the investment agreement according to which from February 14, 2022 we are entitled to exercise the option in two installments as follows: (i) to call for up to $2,000,000 out of the option amount no later than March 31, 2022; and (ii) to call for up to $2,286,000 out of the option amount no later than June 30, 2022. The aforesaid option expired on the closing of our initial public offering on April 4, 2022. On March 6, 2022, we issued to Knorr-Bremse, a total of 10,256 Preferred A shares at a price of $195 per share, after we called an amount of $2,000,000 out of the option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proceeds from sales of our Ordinary and Preferred Shares.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2021, our cash and cash equivalents were $1,649,000. In January 2022, we received $1,000,000 pursuant to a SAFE entered into with existing shareholders and in March 6 2022, we issued to Knorr-Bremse, a total of 10,256 Preferred A shares at a price of $195 per share, after we called an amount of $2,000,000 out of the option amount. On April 4, 2022, we completed our initial public offering on Nasdaq. Gross proceeds from the initial public offering were approximately $15.6 million, and approximately $14.2 million after deducting underwriting discounts and commissions and estimated offering expenses. We expect that our existing cash and cash equivalents will be sufficient to fund our current operations for more than one year from the date that this report is issued. 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spacing w:after="0" w:line="188"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our general and administrative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we can generate significant recurring revenues and profit, we expect to satisfy our future cash needs through debt or equity financings. We cannot be certain that additional funding will be available to us when needed, on acceptable terms, if at all. If funds are not available, we may be required to delay, reduce the scope of, or eliminate research or development plans for, or commercialization efforts with respect to our products. This may raise substantial doubts about our ability to continue as a going concern.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45"/>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260" w:type="dxa"/>
            <w:vAlign w:val="bottom"/>
          </w:tcPr>
          <w:p>
            <w:pPr>
              <w:spacing w:after="0"/>
              <w:rPr>
                <w:sz w:val="21"/>
                <w:szCs w:val="21"/>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 of U.S. dollars)</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722</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research and development programs and the amounts that we have incurred over the last two years pursuant to those programs, please see “Item 5. Operating and Financial Review and Prospects— A. Operating Results— Operating Expenses— Research and Development Expenses, net” and “Item 5. Operating and Financial Review and Prospects— A. Operating Results— Comparison of the year ended December 31, 2021 to the year ended December 31, 2020—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has impacted companies in Israel and around the world, and as its trajectory remains highly uncertain, we cannot predict the duration and severity of the outbreak and its containment measures. Further, we cannot predict impacts, trends and uncertainties involving the pandemic’s effects on economic activity, the size of our labor force, and the extent to which our income, profitability, liquidity, or capital resources may be materially and adversely affected. Further,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See also “Item 3.D. – Risk Factors– Risks Related to Our Business and Industry – Our business is subject to risks arising from the COVID-19 pandemic which continues to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more fully in Note 2 to our financial statements for the year ended December 31, 2021. We believe that the accounting policies below are critical in order to fully understand and evaluate our financial condition and results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appreciation of our critical accounting policies is necessary to understand our financial results. The accounting policies outlined below are considered to be critical because they can materially affect our operating results and financial condition, as these policies may require us to make difficult and subjective judgments regarding uncertainties. The accuracy of these estimates and the likelihood of future changes depend on a range of possible outcomes and a number of underlying variables, many of which are beyond our control, and there can be no assurance that our estimates are accurate.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critical accounting estimate affecting the financial statements is its stock-based compensation: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grant options to its employees, directors and non-employees. The Company recognizes this compensation expense at its fair value.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Changes in the Company’s assumptions can materially affect the estimate of the fair value of stock-based compensation and, consequently, the related expense recognized. The assumptions used in the calculations of the fair value of stock-based payment awards is represented by best estimates which involve inherent uncertainties and the application of judgment when considering inherent uncertainties. As a result, if the Company’s assumptions change and different assumptions are used, the expense of a stock-based compensation award could be materially different in the future than what was originally planned for.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key employees and directors as of May 13,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Shahar Hania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49"/>
        </w:trPr>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Naveh</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8"/>
        </w:trPr>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Zachi Bar-Yehoshua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148"/>
        </w:trPr>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Grisaro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of Marketing and Sales</w:t>
            </w:r>
          </w:p>
        </w:tc>
      </w:tr>
      <w:tr>
        <w:trPr>
          <w:trHeight w:val="149"/>
        </w:trPr>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Klir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of Research and Development</w:t>
            </w:r>
          </w:p>
        </w:tc>
      </w:tr>
      <w:tr>
        <w:trPr>
          <w:trHeight w:val="148"/>
        </w:trPr>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Donnerstein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Elen Katz (1)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8"/>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Yoresh (1)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8"/>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Maximilian Eichhorn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Sebastian Riedel</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8"/>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Inbal Kreiss (2)(3)(4)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Yossi Daskal (2)(3)(4)(5)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148"/>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Oz Adler (6)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standing for re-election as a director on the Company’s board of directors.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(as defined under Nasdaq Stock Market Listing Rules)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director (as defined under the Companies Law)</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is nominated by the Board to serve as an external director subject to and effective as of the approval of his nomination by the Company’s annual shareholders meeting. As of his appointment Mr. Adler will be considered an Independent director (as defined under Nasdaq Stock Market Listing Rules) and will be a member of both the audit committee and the compensation Committee.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Senior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Shahar Hania, Chief Executive Officer</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Shahar Hania </w:t>
      </w:r>
      <w:r>
        <w:rPr>
          <w:rFonts w:ascii="Times New Roman" w:cs="Times New Roman" w:eastAsia="Times New Roman" w:hAnsi="Times New Roman"/>
          <w:sz w:val="18"/>
          <w:szCs w:val="18"/>
          <w:color w:val="auto"/>
        </w:rPr>
        <w:t>has served as our Chief Executive Officer since November 2020. Previously, Mr. Hania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November 2020 to March 2022, and as our Vice President of Research and Development from April 2016 to March 2021. Mr. Hania is an electro-optics expert with vast experience (since 1994) in the fields of combined electro-optics systems, detection, infrared systems and lasers. Mr. Hania held senior system engineering positions in Bird Aerosystems Ltd. From April 2012 to May 2016, and Elbit Systems Electro-Optics ELOP Ltd. From 2000 to 2012. Mr. Hania holds a B.Sc. in Physics and Electro-optics engineering from the Jerusalem College of Technology, Israel and a M.Sc. in electro-optics engineering from Ben-Gurion University, Israel.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Ofer Naveh, Chief Financial Officer</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Ofer Naveh </w:t>
      </w:r>
      <w:r>
        <w:rPr>
          <w:rFonts w:ascii="Times New Roman" w:cs="Times New Roman" w:eastAsia="Times New Roman" w:hAnsi="Times New Roman"/>
          <w:sz w:val="18"/>
          <w:szCs w:val="18"/>
          <w:color w:val="auto"/>
        </w:rPr>
        <w:t>has served as our Chief Financial Officer since June 2017. Mr. Naveh brings more than 15 years of experience in accounting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management, at KPMG’s audit practice from December 1999 to November 2005, and in numerous financial and accounting roles at public companies traded in Israel and the United States. Mr. Naveh served as chief financial officer of Accel Solutions Group Ltd (formerly: Dolomite Holdings Ltd.), a public company organized under the laws of the State of Israel and listed on the Tel Aviv Stock Exchange, or the TASE, from 2010 through June 2017. Since March 2021, Mr. Naveh has served as an external director of Upsellon Brands Holdings Ltd (TASE: UPSL). Mr. Naveh holds a B.A. in Accounting and Business from the College of Management Academic Studies, Israel and a M.A. in Law from Bar-Ilan University, Israel. Mr. Naveh is a Certified Public Accountant in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Zachi Bar-Yehoshua, Chief Operating Officer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Zachi Bar-Yehoshua </w:t>
      </w:r>
      <w:r>
        <w:rPr>
          <w:rFonts w:ascii="Times New Roman" w:cs="Times New Roman" w:eastAsia="Times New Roman" w:hAnsi="Times New Roman"/>
          <w:sz w:val="18"/>
          <w:szCs w:val="18"/>
          <w:color w:val="auto"/>
        </w:rPr>
        <w:t>has served as our Vice president of Operations since June 2017. Mr. Bar-Yehoshua has combined managerial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more than 20 years, both in the high-tech sector and traditional industries in several service and operation roles. Mr. Bar-Yehoshua served as operation and customer manager at Zoko Enterprises Ltd., an infrastructure and transportation company, from June 2015 through June 2017 and as vice president of technologies services at Team-Netcom Ltd. (Malam Group), a hardware development company, from March 2011 through May 2015. Mr. Bar-Yehoshua holds a B.A. in Management and M.B.A in Business Administration from the Open University of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Ofer Grisaro, Vice President of Marketing and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Ofer Grisaro </w:t>
      </w:r>
      <w:r>
        <w:rPr>
          <w:rFonts w:ascii="Times New Roman" w:cs="Times New Roman" w:eastAsia="Times New Roman" w:hAnsi="Times New Roman"/>
          <w:sz w:val="18"/>
          <w:szCs w:val="18"/>
          <w:color w:val="auto"/>
        </w:rPr>
        <w:t>has served as our Vice President of Marketing and Sales since February 1, 2021. Mr. Grisaro has more than 15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sales, marketing and business development. Prior to joining us, between February 2019 and January 2021, Mr. Grisaro worked as a regional sales manager of NSO Technologies Ltd., a Cyber intelligence company. Prior to that, Mr. Grisaro worked as a sales director at D.S.I.T. Solutions Ltd., an underwater surveillance company, between March 2017 and February 2019. Mr. Grisaro holds B.A. degree in Management and an M.B.A. in International Marketing Pricing, both from the Ben Gurion University,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Amit Klir, Vice President of Research and Development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Amit Klir </w:t>
      </w:r>
      <w:r>
        <w:rPr>
          <w:rFonts w:ascii="Times New Roman" w:cs="Times New Roman" w:eastAsia="Times New Roman" w:hAnsi="Times New Roman"/>
          <w:sz w:val="18"/>
          <w:szCs w:val="18"/>
          <w:color w:val="auto"/>
        </w:rPr>
        <w:t>has served as our Vice President of Technology, Research and Development since March 2021. Mr. Klir has more than 25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development and leadership of video and audio applications. Prior to joining us, Mr. Klir worked as the Head of Engineering at Continuse Biometrics Ltd., an innovative medical company, between May 2015 and March 2021. Mr. Klir holds a B.Sc. degree in Electric Engineering and Computers from the Ben Gurion University, Israel.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Shmuel Donnerstein, Director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Shmuel Donnerstein </w:t>
      </w:r>
      <w:r>
        <w:rPr>
          <w:rFonts w:ascii="Times New Roman" w:cs="Times New Roman" w:eastAsia="Times New Roman" w:hAnsi="Times New Roman"/>
          <w:sz w:val="18"/>
          <w:szCs w:val="18"/>
          <w:color w:val="auto"/>
        </w:rPr>
        <w:t>has served as our Chairman of the board of directors since June 2020. Since 2008, Mr. Donnerstein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of Rav Bariach (08) Industries Ltd, a leading company in the door &amp; locks industry in Israel for over 40 years, and also served as the CEO until 2016. Mr. Donnerstein also serves on the board of directors of Scoutam Ltd. (OTCMKTS: SCTC), Safe-Food Ltd., Rav Bariach Locking Products Ltd, Doors (08) Industries Ltd., Norieali Construction Industries Ltd. And Rav Bariach (08) Industries Ltd. Mr. Donnerstein holds a B.A. in Economics from Tel-Aviv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Elen Katz, Director</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Elen Katz </w:t>
      </w:r>
      <w:r>
        <w:rPr>
          <w:rFonts w:ascii="Times New Roman" w:cs="Times New Roman" w:eastAsia="Times New Roman" w:hAnsi="Times New Roman"/>
          <w:sz w:val="18"/>
          <w:szCs w:val="18"/>
          <w:color w:val="auto"/>
        </w:rPr>
        <w:t>has served on our board of directors since April 2016 (except for one week between October and November 2020). Previously,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Katz served as our Chairman of the board of directors and Chief Executive Officer between April 2016 and October 2020. Mr. Katz is an experienced inventor and entrepreneur in the field of mechanical and software innovation, homeland security and mobile and robotic sensors. Between 2013 and our establishment in 2016, Mr. Katz served as a director for I-Trak Ltd., a company that operates within the land security, robotic sensor and computer vision industries. In addition, Mr. Katz provided consultation services to I-Trak Ltd. With respect to several projects in the fields of homeland security, electro-optic robotics and computer vision.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Yoresh, Director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Eli Yoresh </w:t>
      </w:r>
      <w:r>
        <w:rPr>
          <w:rFonts w:ascii="Times New Roman" w:cs="Times New Roman" w:eastAsia="Times New Roman" w:hAnsi="Times New Roman"/>
          <w:sz w:val="18"/>
          <w:szCs w:val="18"/>
          <w:color w:val="auto"/>
        </w:rPr>
        <w:t>has served on our board of directors since August 2017. Mr. Yoresh is a seasoned executive with over 15 years of executive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management experience, mainly with companies in the financial, technology and industrial sectors. Mr. Yoresh has served as chief financial officer since March 2010, and as a director since October 2010, at Foresight Autonomous Holdings Ltd. (Nasdaq and TASE: FRSX), one of our shareholders. Mr. Yoresh served as the chief executive officer of Tomcar Global Holdings Ltd., a global manufacturer of off-road vehicles, from 2005 to 2008. In addition, since March 2014, Mr. Yoresh has served as a director at Nano Dimension Ltd. (Nasdaq and TASE: NNDM). Mr. Yoresh’s previous directorships include Greenstone Industries Ltd. (TASE: GRTN) from January 2013 to June 2015, as the chairman of both Zmicha Investment House Ltd. (TASE: TZMI-M) from February 2013 to July 2015 and Gefen Biomed Investments Ltd. (TASE: GEFEN) from April 2013 to July 2015. Mr. Yoresh holds a B.A. in Business Administration from the College of Management, Israel and an M.A. in Law from Bar-Ilan University, Israel. Mr. Yoresh is a Certified Public Accountant in Israel.</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Sebastian Riedel, Director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Sebastian Riedel </w:t>
      </w:r>
      <w:r>
        <w:rPr>
          <w:rFonts w:ascii="Times New Roman" w:cs="Times New Roman" w:eastAsia="Times New Roman" w:hAnsi="Times New Roman"/>
          <w:sz w:val="18"/>
          <w:szCs w:val="18"/>
          <w:color w:val="auto"/>
        </w:rPr>
        <w:t>has served on our board of directors since May 1, 2022. Mr. Riedel has served as the Head of M&amp;A at Knorr-Bremse AG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2021. Mr. Riedel served as the Director of Business Development at Knorr-Bremse Rail from 2017 to 2021, and as the Strategy Manager of Knorr-Bremse AG from 2014 to 2017. Prior to his work at Knorr-Bremse, Mr. Riedel was a Manager of Corporate Finance at Hanse Corporate Finance GmbH from 2011 to 2014, and a Senior Consultant at E.ON Inhouse Consulting GmbH from 2008 to 2011. Mr. Riedel has a degree in Business Administration from the University of Cologne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Maximilian Eichhorn, Director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Maximilian Eichhorn </w:t>
      </w:r>
      <w:r>
        <w:rPr>
          <w:rFonts w:ascii="Times New Roman" w:cs="Times New Roman" w:eastAsia="Times New Roman" w:hAnsi="Times New Roman"/>
          <w:sz w:val="18"/>
          <w:szCs w:val="18"/>
          <w:color w:val="auto"/>
        </w:rPr>
        <w:t>has served on our board of directors since October 2020. Mr. Eichhorn has more than 15 years of experience in the rail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Mr. Eichhorn currently serves as the Vice President Digital Products and Services of Knorr-Bremse’s Rail Systems Division since November 2020. Prior to that Mr. Eichhorn worked for 20 years for Siemens and served as Vice President Mobility Operating System and ATMS Software Solutions (July 2019 to September 2020), as Senior Vice President Strategy &amp; Business Development (May 2018 to June 2019), and as Vice President Digital Transformation (January 2018 to May 2018), at Siemens Mobility GmbH, a 100% daughter company of Siemens AG. Prior to that, from January 2015 to December 2017, Mr. Eichhorn served as the Executive General Manager at Siemens Ltd. And as the Managing Director / CEO at Siemens Rail Automation Pty. Ltd., both located in Melbourne, Australia. Since January 2022, he also serves on the board of directors of Railnova S.A., Brussels, Belgium, a minority investment of Knorr-Bremse. Mr. Eichhorn holds a Master of Science degree in Electrical Engineering from the Technical University of Vienna, Austria, and a Ph.D. degree at Business Management from the University of Gottingen, Germany.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Inbal Kreiss, Director</w:t>
      </w:r>
    </w:p>
    <w:p>
      <w:pPr>
        <w:spacing w:after="0" w:line="22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Mrs. Inbal Kreiss </w:t>
      </w:r>
      <w:r>
        <w:rPr>
          <w:rFonts w:ascii="Times New Roman" w:cs="Times New Roman" w:eastAsia="Times New Roman" w:hAnsi="Times New Roman"/>
          <w:sz w:val="18"/>
          <w:szCs w:val="18"/>
          <w:color w:val="auto"/>
        </w:rPr>
        <w:t>has served on our board of directors since March 2022. Mrs. Kreiss is currently the Head of Innovation at the Systems, Missiles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Space Division of the Israeli Aerospace Industries Ltd. (IAI) and Chairwoman of RAKIA, Israel’s 2nd Scientific and Technological Mission to the International Space Station. Since 2013, Mrs. Kreiss has served as Deputy Director of the Space Division at IAI, leading the development, construction, launch and operation of observation and communication satellites for both Israeli and foreign users. Prior to that, Mrs. Kreiss held various leadership positions within IAI, including chief engineer of Israel’s Arrow 2 anti-ballistic missile defense system from 2000 to 2006, and project manager of the Arrow 3 exo-atmospheric interceptor from 2007 to 2013. Mrs. Kreiss holds a B.Sc in chemical engineering from the Technion, Israeli Institute of Technology, an Executive Masters in Business Administration from Tel Aviv University, and completed a visiting research fellowship at the Aeronautics &amp; Astronautics Department of the Massachusetts Institute of Technology (MIT).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Yossi Daskal, Director</w:t>
      </w:r>
    </w:p>
    <w:p>
      <w:pPr>
        <w:spacing w:after="0" w:line="22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Daskal </w:t>
      </w:r>
      <w:r>
        <w:rPr>
          <w:rFonts w:ascii="Times New Roman" w:cs="Times New Roman" w:eastAsia="Times New Roman" w:hAnsi="Times New Roman"/>
          <w:sz w:val="18"/>
          <w:szCs w:val="18"/>
          <w:color w:val="auto"/>
        </w:rPr>
        <w:t>has served on our board of directors since March 2022. Mr. Daskal serves as the President of Israel-Canada Chamber of Commerce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From 2003 to 2019, Mr. Daskal established Bombardier Israel, working as Chief Country Representative, Project Manager, Financing &amp; Head of Sales. Prior to that, Mr. Daskal was the General Manager of Chemitron Technologies from 1999 to 2003. Since 2021, he is the chairman of the board of directors and the director of the finance committee of the Tel Aviv Museum of Art. Mr. Daskal has a Bachelors of Arts in Mediterranean and Arabic History Science and a Masters of Arts in Political Science, and is completing a PhD in Decision-Making from Haifa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Oz Adler, Director</w:t>
      </w:r>
    </w:p>
    <w:p>
      <w:pPr>
        <w:spacing w:after="0" w:line="22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Mr. Adler</w:t>
      </w:r>
      <w:r>
        <w:rPr>
          <w:rFonts w:ascii="Times New Roman" w:cs="Times New Roman" w:eastAsia="Times New Roman" w:hAnsi="Times New Roman"/>
          <w:sz w:val="18"/>
          <w:szCs w:val="18"/>
          <w:color w:val="auto"/>
        </w:rPr>
        <w:t>, CPA, has been nominated to serve as our Director by the Board on May 2022, subject to and effective as of the approval of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meeting. Mr. Adler currently serves as the chief executive officer and chief financial officer of SciSparc Ltd. Mr. Adler has served as SciSparc’s chief financial officer since April 2018 and as its chief executive officer since January 2022. Prior to that, from September 2017 until March 2018, he served as the VP Finance of SciSparc. From December 2020 to April 2021, Mr. Adler served as the chief financial officer of Medigus Ltd. Mr. Adler also worked in the audit department of Kost Forer Gabbay &amp; Kasierer, a member of Ernst &amp; Young Global between December 2012 and August 2017. Additionally, Mr. Adler currently serves on the board of directors of numerous private and publicly traded companies, including Elbit Imaging Ltd. (TASE: EMITF), Clearmind Medicine Inc. (CSE: CMND) (OTC: CMNDF) (FSE:CWY), Jeffs’ Brands Ltd., Polyrizon Ltd. and Charging Robotics Ltd. Mr. Adler is a certified public accountant in Israel and holds a B.A. degree in Accounting and Business Management from The College of Management, Israel. We believe that Mr. Adler is qualified to serve on our board of directors because of his diverse business, management, and leadership experience.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family relationships between any members of our executive management and our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for Election of Directors and Members of Management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shareholders are entitled to appoint a director to our board of directors for each 10% of our outstanding share capital that they own and in such case the appointment will be for an undefined period. As such, Knorr-Bremse has appointed Mr. Maximilian Eichhorn and Mr. Sebastian Riedel to the board of directors, and Foresight has appointed Eli Yoresh to the board of directors.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There are no other arrangements or understandings with major shareholders, customers, suppliers or others pursuant to which any of our executive management or our directors were selected. See “Related Party Transactions”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 the aggregate all compensation we paid to all of our directors and senior management as a group for the year ended December 31, 2021. The table does not include any amounts we paid to reimburse any of such persons for costs incurred in providing us with services during this period.</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amounts reported in the table below reflect the cost to us in thousands of U.S. dollars, for the year ended December 31, 2021. Amounts paid in NIS are translated into U.S. dollars at the rate of NIS 3.116 = $1.00, based on the average representative rate of exchange between the NIS and the U.S. dollar as reported by the Bank of Israel in the year ended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Salary 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Similar</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Based</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184"/>
        </w:trPr>
        <w:tc>
          <w:tcPr>
            <w:tcW w:w="7320" w:type="dxa"/>
            <w:vAlign w:val="bottom"/>
            <w:tcBorders>
              <w:top w:val="single" w:sz="8" w:color="CCEEFF"/>
            </w:tcBorders>
            <w:shd w:val="clear" w:color="auto" w:fill="CCEEFF"/>
          </w:tcPr>
          <w:p>
            <w:pPr>
              <w:jc w:val="right"/>
              <w:ind w:right="530"/>
              <w:spacing w:after="0" w:line="184" w:lineRule="exact"/>
              <w:rPr>
                <w:sz w:val="20"/>
                <w:szCs w:val="20"/>
                <w:color w:val="auto"/>
              </w:rPr>
            </w:pPr>
            <w:r>
              <w:rPr>
                <w:rFonts w:ascii="Times New Roman" w:cs="Times New Roman" w:eastAsia="Times New Roman" w:hAnsi="Times New Roman"/>
                <w:sz w:val="18"/>
                <w:szCs w:val="18"/>
                <w:color w:val="auto"/>
                <w:w w:val="99"/>
              </w:rPr>
              <w:t>All directors and senior management as a group, consisting of 6 persons (as of December 31,</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7320" w:type="dxa"/>
            <w:vAlign w:val="bottom"/>
            <w:shd w:val="clear" w:color="auto" w:fill="CCEEFF"/>
          </w:tcPr>
          <w:p>
            <w:pPr>
              <w:jc w:val="right"/>
              <w:ind w:right="65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1,080,962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589,161</w:t>
            </w: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options to purchase 826,848 ordinary shares granted to our directors and executive officers were outstanding under our Option Plan at a weighted average exercise price of $6.1393 per share. No options granted to our executive officers and directors during the year ended December 31, 2021.</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so long as we qualify as a foreign private issuer, we will not be required to comply with the proxy rules applicable to U.S. domestic companies regarding disclosure of the compensation of certain executive officers on an individual basis. Pursuant to the Companies Law, we will be required, after we become a public company, to disclose the annual compensation of our five most highly compensated officers on an individual basis. This disclosure will not be as extensive as that required of a U.S. domestic issuer.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Service Agreements with Executive Officers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written employment agreements and/or service agreements with each of our executive officers. These agreements are terminable by either party upon prior written notice ranging from 30 to 90 days.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Most of our executive officers do not receive benefits upon the termination of their respective employment with us, other than benefits under Section 14.</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completion of our initial public offering, we paid a one-time IPO bonus to our Chief Executive Officer in the amount of NIS 312,000 (approximately $97,000), and granted our Chief Executive Officer options to purchase 156,081 ordinary shares (equal to 0.75% of our post-IPO share capital on a fully diluted basis), with an exercise price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a quarterly basis during the following 24 months.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with the completion of our initial public offering, we paid a one-time IPO bonus to our Chief Financial Officer in the amount of NIS 270,000 (approximately $84,000), and granted our Chief Financial Officer options to purchase 124,865 ordinary shares (equal to 0.6% of our post-IPO share capital on a fully diluted basis), with an exercise price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quarterly basis during the following 24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Service Contracts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with respect to our Chairman of the board of directors that are also executive officers, we do not have written agreements with any director providing for benefits upon the termination of his engagement with our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completion of our initial public offering, board members who are not otherwise engaged or employed by us, are each entitled to (i) an annual fee of NIS 48,000 and a per meeting fee of NIS 2,000, and (ii) options to purchase 39,932 ordinary shares with an exercise price per share equal to the average closing share price on the Nasdaq over the first 30 calendar days that followed our initial public offering on April 4, 2022. Such options will vest one-third over three years from the completion of our initial public offering. Board members may waive there right to receive the above fees or options or any part thereof, and director nominees may assign their right to remunerations to the shareholder which appointed them.</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21, 2020, we entered into a service agreement with Mr. Donnerstein under which he was engaged to serve as our active Chairman of the board. In consideration for his services, Mr. Donnerstein is entitled to a monthly fee of $3,000 (plus VAT) which was increased to $10,000 (plus VAT) following our initial public offering. Mr. Donnerstein was granted 556,820 options to purchase ordinary shares under our Option Plan. In addition, with the completion of our initial public offering, we paid Mr. Donnerstein a one-time IPO bonus in the amount of $50,000 (plus VAT) and granted additional options to purchase 266,216 ordinary shares, with an exercise price per share equal to the average closing share price on the Nasdaq over the first 30 calendar days that followed our initial public offering on April 4, 2022. Such options will vest one-half following 12 months from the completion of our initial public offering and the balance on quarterly basis during the following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amended and restated articles of association, our board of directors must consist of at least four (4) directors and not more than thirteen</w:t>
      </w:r>
    </w:p>
    <w:p>
      <w:pPr>
        <w:spacing w:after="0" w:line="27" w:lineRule="exact"/>
        <w:rPr>
          <w:sz w:val="20"/>
          <w:szCs w:val="20"/>
          <w:color w:val="auto"/>
        </w:rPr>
      </w:pPr>
    </w:p>
    <w:p>
      <w:pPr>
        <w:jc w:val="both"/>
        <w:ind w:firstLine="8"/>
        <w:spacing w:after="0" w:line="251" w:lineRule="auto"/>
        <w:tabs>
          <w:tab w:leader="none" w:pos="3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including at least two external directors if required to be appointed under the Companies Law. Pursuant to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services agreement that we have entered into with him. All other executive officers are appointed by our Chief Executive Officer. Their terms of employment are subject to the approval of the board of directors’ compensation committee and of the board of directors, as well as our shareholders in the event such terms deviate from our office holder compensation policy, and are subject to the terms of any applicable employment agreements that we may enter into with them.</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director, except external directors and directors appointed by shareholders entitled to appoint a director for each 10% of the issued and outstanding share capital of the company that the shareholders owns, will hold office until the annual general meeting of our shareholders for the year in which his or her term expires, he or she resigns or upon the occurrence of certain events, in accordance with the Companies Law and our amended and restated articles of association.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under certain circumstances, our amended and restated articles of association allow our board of directors to appoint directors to fill vacancies on our board of directors or in addition to the acting directors (subject to the limitation on the number of directors), until the next annual general meeting or special general meeting in which directors may be appointed or terminated. External directors may be elected for up to two additional three-year terms after their initial three-year term under the circumstances described below, with certain exceptions as described below. External directors may be removed from office only under the limited circumstances set forth in the Companies Law. See “Directors, Senior Management and Employees—Board Practices—External Directors” below.</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Companies Law, any shareholder holding at least one percent of our outstanding voting power may request that the board of directors include a matter on the agenda of a general meeting to be held in the future, provided that the board determines that the matter is appropriate to be considered in a general meeting including in order to nominate a director. Any such notice must include certain information, including the consent of the proposed director nominee to serve as our director if elected, and a declaration signed by the nominee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 affirm that all of the required election-information is provided to us, pursuant to the Companies Law.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we must have at least one director with accounting and financial expertise.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may elect one director to serve as the chairman of the board of directors to preside at the meetings of the board of directors, and may also remove that director as chairman. Pursuant to the Companies Law, neither the chief executive officer nor any of his or her relatives is permitted to serve as the chairman of the board of directors of a public company, and a public company may not vest the chairman or any of his or her relatives with the chief executive officer’s authorities. In addition, a person who reports, directly or indirectly, to the chief executive officer may not serve as the chairman of the board of directors;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 (2) that the total number of shares opposing such determination does not exceed 2% of the total voting power in the company.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subject to the provisions of the Companies Law and certain limitations set forth therein, delegate its powers to committees of the board, and it may, from time to time, revoke such delegation or alter the composition of any such committees. Unless otherwise expressly provided by the board of directors, the committees shall not be empowered to further delegate such powers. The composition and duties of our audit committee and compensation committee are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oversees how management monitors a company’s compliance with its risk management policies and procedures, and reviews the adequacy of the risk management framework in relation to the risks faced by a company. The board of directors is assisted in its oversight role by an internal auditor. The internal auditor undertakes both regular and ad hoc reviews of risk management controls and procedures, the results of which are reported to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 Mr. Yossi Daskal and Mr. Oz Adler have agreed to serve as our external directors. Mr. Adler’s appointment to our board of directors is subject to shareholder approval.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regulations promulgated under the Companies law, at least one of the external directors is required to have “financial and accounting expertise,” unless another member of the audit committee, who is an independent director under the Nasdaq Stock Market rules, has “financial and accounting expertise,” and the other external director or directors are required to have “professional expertise.” An external director may not be appointed to an additional term unless: (1) such director has “accounting and financial expertise;” or (2) he or she has “professional expertise,” and on the date of appointment for another term there is another external director who has “accounting and financial expertise” and the number of “accounting and financial experts” on the board of directors is at least equal to the minimum number determined appropriate by the board of directors. We have determined that Mr. Oz Adler has accounting and financial expertise.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director with accounting and financial expertise is a director who, due to his or her education, experience and skills, possesses a high degree of proficiency in, and an understanding of, business – accounting matters and financial statements, such that he or she is able to understand the financial statements of the company in depth and initiate a discussion about the manner in which financial data is presented. A director is deemed to have “professional expertise” if he or she holds an academic degree in certain fields or has at least five years of experience in certain senior positions. The board of directors is charged with determining whether a director possesses financial and accounting expertise or professional qualifications.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directors are elected by a majority vote at a shareholders’ meeting, so long as either:</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shareholders who are not controlling shareholders and do not have personal interest in the appointment (excluding a personal interest that did not result from the shareholder’s relationship with the controlling shareholder) have voted in favor of the proposal (shares held by abstaining shareholders shall not be considered);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voted against the election of the external director, does not exceed 2% of the aggregate voting rights of our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provides for an initial three-year term for an external director. Thereafter, an external director may be reelected by shareholders to serve in that capacity for up to two additional three-year terms, provided that:</w:t>
      </w:r>
    </w:p>
    <w:p>
      <w:pPr>
        <w:spacing w:after="0" w:line="162" w:lineRule="exact"/>
        <w:rPr>
          <w:sz w:val="20"/>
          <w:szCs w:val="20"/>
          <w:color w:val="auto"/>
        </w:rPr>
      </w:pPr>
    </w:p>
    <w:p>
      <w:pPr>
        <w:jc w:val="both"/>
        <w:ind w:left="980" w:hanging="324"/>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one or more shareholders holding at least one percent of the company’s voting rights and is approved at a shareholders meeting by a disinterested majority, where the total number of shares held by non-controlling, disinterested shareholders voting for such reelection exceeds two percent of the aggregate voting rights in the company and subject to additional restrictions set forth in the Companies Law with respect to the affiliation of the external director nominee as described below;</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the board of directors and is approved at a shareholders meeting by the same disinterested majority required for the initial election of an external director (as described above);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director offered his or her service for each such additional term and was approved in accordance with the provisions of section (1) above.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of office for external directors for Israeli companies traded on certain foreign stock exchanges, including the Nasdaq Stock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above). Prior to the approval of the reelection of the external director at a general shareholders meeting, the company’s shareholders must be informed of the term previously served by him or her and of the reasons why the board of directors and audit committee recommended the extension of his or her term.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External directors may be removed only by a special general meeting of shareholders called by the board of directors after the board has determined that circumstances allow such dismissal, at the same special majority of shareholders required for their election or by a court, and in both cases only if the external directors cease to meet the statutory qualifications for their appointment or if they violate their duty of loyalty to our company. In the event of a vacancy created by an external director which causes the company to have fewer than two external directors, the board of directors is required under the Companies Law to call a shareholders meeting as soon as possible to appoint such number of new external directors in order that the company thereafter has two external directors.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with a holder of 5% or more of the issued share capital or voting power in the company or with the most senior financial officer.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“relative” is defined in the Companies Law as a spouse, sibling, parent, grandparent or descendant; spouse’s sibling, parent or descendant; and the spouse of each of the foregoing persons.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term “affiliation” and the similar types of disqualifying relationships, as used above, include (subject to certain exceptions):</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 relationship;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or professional relationship even if not maintained on a regular basis (excluding insignificant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other than for his or her service as an external director as permitted by the Companies Law and the regulations promulgated thereunder.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a company may not be appointed as an external director of another company if at the same time a director of such other company is acting as an external director of the first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under regulations promulgated pursuant to the Companies Law, a company with no controlling shareholder whose shares are listed for trading on specified exchanges outside of Israel, including the Nasdaq Capital Market, may adopt exemptions from various corporate governance requirements of the Companies Law so long as such company satisfies the requirements of applicable foreign country laws and regulations, including applicable stock exchange rules, that apply to companies organized in that country and relating to the appointment of independent directors and the composition of audit and compensation committees. Such exemptions include an exemption from the requirement to appoint external directors and the requirement that an external director be a member of certain committees, as well as the exemption from limitations on directors’ compensation. We may use these exemptions in the future if we do not have a controlling shareholder.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 Under the Companies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an “independent director” is either an external director or a director who meets the same non-affiliation criteria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as determined by the audit committee, and who has not served as a director of the company for more than nine consecutive years. For these purposes, ceasing to serve as a director for a period of two years or less would not be deemed to sever the consecutive nature of such director’s service. Mrs. Inbal Kreiss has agreed to serve as our independent director.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Regulations promulgated pursuant to the Companies Law provide that a director in a public company whose shares are listed for trading on specified exchanges outside of Israel, including the Nasdaq Capital Market, who qualifies as an independent director under the relevant non-Israeli rules and who meets certain non-affiliation criteria, which are less stringent than those applicable to independent directors as set forth above, would be deemed an “independent” director pursuant to the Companies Law provided: (i) he or she has not served as a director for more than nine consecutive years; (ii) he or she has been approved as such by the audit committee; and (iii) his or her remuneration shall be in accordance with the Companies Law and the regulations promulgated thereunder. For these purposes, ceasing to serve as a director for a period of two years or less would not be deemed to sever the consecutive nature of such director’s service.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pursuant to these regulations, such company may reappoint a person as an independent director for additional terms, beyond nine years, which do not exceed three years each, if each of the audit committee and the board of directors determine, in that order, that in light of the independent director’s expertise and special contribution to the board of directors and its committees, the reappointment for an additional term is in the company’s best interest.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Alternate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 as allowed by the Companies Law, that any director may, subject to the conditions set thereto, appoint a person as an alternate to act in his place, to remove the alternate and appoint another in his place and to appoint an alternate in place of an alternate whose office is vacated for any reason whatsoever.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so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A person who does not have the requisite “financial and accounting experience” or the “professional expertise,” depending on the qualifications of the external director he or she is replacing, may not be appointed as an alternate director for an external director. A person who is not qualified to be appointed as an independent director, pursuant to the Companies Law, may not be appointed as an alternate director of an independent director qualified as such under the Companies Law. Unless the appointing director limits the time or scope of the appointment, the appointment is effective for all purposes until the appointing director ceases to be a director or terminates the appointment.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we appointed an audit committee following the closing of our initial public offering. The audit committee is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 majority of the members of the audit committee of a publicly-traded company must be independent directors under the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Mr. Yossi Daskal, and Mrs. Inbal Kreiss. Subject to shareholder approval, Mr. Oz Adler will join the audit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will also act as a committee for review of our financial statements as required under the Companies Law, and in such capacity will oversee and monitor our accounting; financial reporting processes and controls, audits of the financial statements, compliance with legal and regulatory requirements as they relate to financial statements or accounting matters, and the independent registered public accounting firm’s qualifications, independence and performance; and provide the board of directors with reports on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our company, and making recommendations to the board of directors to improve such practices;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(including transactions in which an office holder has a personal interest and whether such transaction is extraordinary or material under Companies Law) (see “Directors, Senior Management and Employees—Board Practices—Approval of Related Party Transactions under Israeli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optionally based on criteria which may be determined annually in advance by the audit committee;</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controls and internal auditor’s performance, including whether the internal auditor has sufficient resources and tools to dispose of its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of directors approves the working plan of the internal auditor, examining such working plan before its submission to the board of directors and proposing amendments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may not conduct any discussions or approve any actions requiring its approval (see “Directors, Senior Management and Employees—Board Practices—Approval of Related Party Transactions under Israeli law”), unless at the time of the approval a majority of the committee’s members are present, which majority consists of independent directors under the Companies Law, including at least one external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Stock Market Requirements for Audit Committee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Nasdaq Stock Market rules, we are required to maintain an audit committee consisting of at least three members, all of whom are independent and are financially literate and one of whom has accounting or related financial management expertise.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noted above, the members of our audit committee are Mr. Yossi Daskal, who will serve as an external director, and Mrs. Inbal Kreiss, who will serve as an independent director, each of whom is “independent,” as such term is defined in under Nasdaq Stock Market rules. Subject to shareholder approval, Mr. Oz Adler, who will serve as an external director, will join the audit committee, and will be “independent,” as such term is defined under Nasdaq Stock Market rules. The members of our audit committee meet the requirements for financial literacy under the Nasdaq Stock Market rules. Our board of directors has determined that each member of our audit committee is an audit committee financial expert as defined by the SEC rules and has the requisite financial experience as defined by the Nasdaq Stock Market rules.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among others, the responsibilities of the audit committee consistent with the rules of the SEC and Nasdaq Stock Market Rules (in addition to the requirements for such committee under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the board of directors of any public company must establish a compensation committee. The compensation committee must be comprised of at least three directors, including all of the external directors, who must constitute a majority of the members of the compensation committee. Each compensation committee member that is not an external director must be a director whose compensation does not exceed an amount that may be paid to an external director. The compensation committee is subject to the same Companies Law restrictions as the audit committee as to (a) who may not be a member of the committee and (b) who may not be present during committee deliberations as described above.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which was formed following the completion of the initial public offering, are Mr. Yossi Daskal, and Mrs. Inbal Kreiss, each of whom is “independent,” as such term is defined under the Nasdaq Stock Market rules. Subject to shareholder approval, Mr. Oz Adler will join the compensation committee, and will also be “independent,” as such term is defined under the Nasdaq Stock Market rules. Our compensation committee complies with the provisions of the Companies Law, the regulations promulgated thereunder, and our amended and restated articles of association, on all aspects referring to its independence, authorities and practice. Our compensation committee follows home country practice as opposed to complying with the compensation committee membership and charter requirements prescribed under the Nasdaq Stock Market rules. Our board of directors has adopted a compensation committee charter.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reviews and recommends to our board of directors, with respect to our executive officers’ and directors’: (1) annual base compensation; (2) annual incentive bonus, including the specific goals and amount; (3) equity compensation; (4) employment agreements, severance arrangements, and change in control agreements and provisions; (5) retirement grants and/or retirement bonuses; and (6) any other benefits, compensation, compensation policies or arrangements.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committee. The compensation policy is then brought for approval by our shareholders, which requires a special majority (see “Directors, Senior Management and Employees—Board Practices—Approval of Related Party Transactions under Israeli law”). Under the Companies Law, the board of directors may adopt the compensation policy if it is not approved by the shareholders, provided that after the shareholders oppose the approval of such policy, the compensation committee and the board of directors revisit the matter and determine that adopting the compensation policy would be in the best interest of the company. Our board has adopted a compensation policy.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executive officers and directors, including exculpation, insurance, indemnification or any monetary payment or obligation of payment in respect of employment or engagement. The compensation policy must relate to certain factors, including advancement of the company’s objectives, the company’s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expertise and accomplishments of the relevant director or executive;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executive’s roles and responsibilities and prior compensation agreements with him or her;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cost of the terms of service of an office holder and the average and median compensation of the other employees of the company (including those employed through manpower companies), including the impact of disparities in salary upon work relationships in the company;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reducing variable compensation at the discretion of the board of directors; and the possibility of setting a limit on the exercise value of non-cash variable compensation;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policy must also include the following principles:</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link between variable compensation and long-term performance and measurable criteria;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variable and fixed compensation, and the ceiling for the value of variable compensation at the time of its grant;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for variable, equity-based compensation;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limits for severance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policy must also consider appropriate incentives from a long-term perspective.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is also responsible for:</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periodic updates to the compensation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implementation of the compensation policy;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terms of compensation of certain office holders of the company need not be brought to approval of the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the terms of compensation of office holders that require the committee’s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Auditor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 of directors of an Israeli public company must appoint an internal auditor nominated by the audit committee. Our internal auditor is Mr. Daniel Shapira, who has been serving as our internal auditor since May 2022. Mr. Shapira is a Certified Public Accountant and holds a B.A. degree in Economics and Accounting from Bar-Ilan University, Israel.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 We intend to appoint an internal auditor.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remuneration of directors is subject to the approval of the compensation committee, thereafter by the board of directors and thereafter, unless exempted under the regulations promulgated under the Companies Law, by the general meeting of the shareholders. External directors are entitled to remuneration (including reimbursement of expenses) subject to the provisions and limitations set forth in the regulations promulgated under the Companies Law. Where the director is also a controlling shareholder, the requirements for approval of transactions with controlling shareholders apply.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us, on the one hand, and our directors in their capacity as directors, on the other hand, providing for benefits upon termination of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Office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Companies Law imposes a duty of care and a duty of loyalty on all office holders of a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advisability of a given action brought for his approval or performed by him by virtue of his position;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these 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loyalty of an office holder requires an office holder to act in good faith and for the benefit of the company, and includes a duty to:</w:t>
      </w:r>
    </w:p>
    <w:p>
      <w:pPr>
        <w:spacing w:after="0" w:line="225"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duties in the company and his performance of his other duties or personal affairs;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action that is competitive with the company’s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others;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has received due to his position as an office holder.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 company may obtain insurance for any of its office holders against the following liabilities incurred due to acts he or she performed as an office holder, if and to the extent provided for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his or her duty of care to the company or to another person, to the extent such a breach arises out of the negligent conduct of the office 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his or her duty of loyalty to the company, provided that the office holder acted in good faith and had reasonable cause to assume that his or her act would not prejudice the company’s interests;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upon him or her in favor of another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21, 2022, our board of directors approved our entering into a Directors and Officers Insurance Policy for a period of 12 months from completion of this IPO with a $5 million coverage, and an annual premium of $400,000.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28, 2022, our board of directors approved the purchase of a run-off insurance policy for directors and officers, which will cover past events. The insurance amount is NIS 18 million (approximately US$ 5.6 million) in aggregate plus reasonable legal defense costs, with Company retention for claims in North America of NIS 90,000 (approximately US$ 28,125) and Company retention for other claims of NIS 18,000 (approximately US$ 5,600). The policy is for seven (7) years as of April 4, 2022, and cost NIS 49,140 (approximately US$ 15,260). The purchase of the run-off director and officer insurance policy requires ratification and approval of the Company’s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sz w:val="20"/>
          <w:szCs w:val="20"/>
          <w:color w:val="auto"/>
        </w:rPr>
      </w:pPr>
    </w:p>
    <w:p>
      <w:pPr>
        <w:jc w:val="both"/>
        <w:ind w:left="980" w:hanging="324"/>
        <w:spacing w:after="0" w:line="25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by any judgment concerning an act performed in his or her capacity as an office holder,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as a substitute for the criminal proceeding (as defined in the Companies Law) was imposed upon him or her as a result of such investigation or proceeding, or, if such financial liability was imposed, it was imposed with respect to an offense that does not require proof of criminal intent; and (b) in connection with a monetary sanction;</w:t>
      </w:r>
    </w:p>
    <w:p>
      <w:pPr>
        <w:spacing w:after="0" w:line="187"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both"/>
        <w:ind w:left="980" w:hanging="324"/>
        <w:spacing w:after="0" w:line="261"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Exculpation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 (2) a breach by the office holder of his or her duty of care if the breach was carried out intentionally or recklessly (as opposed to merely negligently);</w:t>
      </w:r>
    </w:p>
    <w:p>
      <w:pPr>
        <w:spacing w:after="0" w:line="3" w:lineRule="exact"/>
        <w:rPr>
          <w:sz w:val="20"/>
          <w:szCs w:val="20"/>
          <w:color w:val="auto"/>
        </w:rPr>
      </w:pPr>
    </w:p>
    <w:p>
      <w:pPr>
        <w:ind w:firstLine="8"/>
        <w:spacing w:after="0" w:line="260" w:lineRule="auto"/>
        <w:tabs>
          <w:tab w:leader="none" w:pos="2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committed with the intent to derive an illegal personal benefit; or (4) any fine, monetary sanction, penalty or forfeit levied against the office holder.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“Directors, Senior Management and Employees—Board Practices—Approval of Related Party Transactions under Israeli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permits us to exculpate, indemnify and insure our office holders to the fullest extent permitted or to be permitted by the Companies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of our initial public offering, we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the Companies Law, including with respect to liabilities resulting from our initial public offering to the extent that these liabilities are not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we may approve an action by an office holder from which the office holder would otherwise have to refrain, as described above, if:</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 acts in good faith and the act or its approval does not cause harm to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 disclosed the nature of his or her interest in the transaction (including any significant fact or document) to the company at a reasonable time before the company’s approval of such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an Office Holder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Law requires that an office holder disclose to the company, promptly, and, in any event, not later than the board meeting at which the transaction is first discussed, any direct or indirect personal interest that he or she may have and all related material information known to him or her relating to any existing or proposed transaction by the company. If the transaction is an extraordinary transaction, the office holder must also disclose any personal interest held by:</w:t>
      </w:r>
    </w:p>
    <w:p>
      <w:pPr>
        <w:spacing w:after="0" w:line="180"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relatives;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 which the office holder or his or her relatives holds 5% or more of the shares or voting rights, serves as a director or general manager or has the right to appoint at least one director or the general manager.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ind w:firstLine="648"/>
        <w:spacing w:after="0" w:line="282" w:lineRule="auto"/>
        <w:rPr>
          <w:sz w:val="20"/>
          <w:szCs w:val="20"/>
          <w:color w:val="auto"/>
        </w:rPr>
      </w:pPr>
      <w:r>
        <w:rPr>
          <w:rFonts w:ascii="Times New Roman" w:cs="Times New Roman" w:eastAsia="Times New Roman" w:hAnsi="Times New Roman"/>
          <w:sz w:val="18"/>
          <w:szCs w:val="18"/>
          <w:color w:val="auto"/>
        </w:rPr>
        <w:t>An office holder is not, however, obliged to disclose a personal interest if it derives solely from the personal interest of his or her relative in a transaction that is not considered an extraordinary transaction. Under the Companies Law, an extraordinary transaction is a transaction:</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the ordinary course of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on market terms;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likely to have a material effect on the company’s profitability, assets or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does not specify to whom within us nor the manner in which required disclosures are to be made. We require our office holders to make such disclosures to our board of directors.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Generally, a person who has a personal interest in a matter which is considered at a meeting of the board of directors or the audit committee may not be present at such a meeting unless the chairman of the audit committee or board of directors (as applicable) determines that he or she should be present in order to present the transaction that is subject to approval. A director who has a personal interest in a transaction, which is considered at a meeting of the board of directors or the audit committee, may not be present at this meeting or vote on this matter, unless a majority of the members of the board of directors or the audit committee, as the case may be, has a personal interest. If a majority of the board of directors has a personal interest, then shareholder approval is generally also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 Controlling Shareholder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and compensation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192" w:lineRule="exact"/>
        <w:rPr>
          <w:sz w:val="20"/>
          <w:szCs w:val="20"/>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shareholders who have no personal interest in the transaction and are voting at the meeting must be voted in favor of approving the transaction, excluding abstentions;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by shareholders who have no personal interest in the transaction who vote against the transaction represent no more than 2% of the voting rights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Compensation of Directors and Executive 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Under the Companies Law, the compensation of our directors requires the approval of our compensation committee,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board of directors and, unless exempted under the regulations promulgated under the Companies Law, the approval of the general meeting of our shareholders. If the compensation of our directors is inconsistent with our stated compensation policy, then, provided that those provisions that must be included in the compensation policy according to the Companies Law have been considered by the compensation committee and board of directors, shareholder approval by a special majority will be required.</w:t>
      </w:r>
    </w:p>
    <w:p>
      <w:pPr>
        <w:spacing w:after="0" w:line="18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Executive officers other than the chief executive officer. </w:t>
      </w:r>
      <w:r>
        <w:rPr>
          <w:rFonts w:ascii="Times New Roman" w:cs="Times New Roman" w:eastAsia="Times New Roman" w:hAnsi="Times New Roman"/>
          <w:sz w:val="18"/>
          <w:szCs w:val="18"/>
          <w:color w:val="auto"/>
        </w:rPr>
        <w:t>The Companies Law requires the approval of the compensation of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(other than the chief executive officer) in the following order: (i) the compensation committee, (ii) the company’s board of directors, and</w:t>
      </w:r>
    </w:p>
    <w:p>
      <w:pPr>
        <w:jc w:val="both"/>
        <w:ind w:firstLine="8"/>
        <w:spacing w:after="0" w:line="253" w:lineRule="auto"/>
        <w:tabs>
          <w:tab w:leader="none" w:pos="3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such compensation arrangement is inconsistent with the company’s stated compensation policy, the company’s shareholders by a special majority.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provides detailed reasons for their decision.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Chief executive officer. </w:t>
      </w:r>
      <w:r>
        <w:rPr>
          <w:rFonts w:ascii="Times New Roman" w:cs="Times New Roman" w:eastAsia="Times New Roman" w:hAnsi="Times New Roman"/>
          <w:sz w:val="18"/>
          <w:szCs w:val="18"/>
          <w:color w:val="auto"/>
        </w:rPr>
        <w:t>Under the Companies Law, the compensation of a public company’s chief executive officer is required to be approved by:</w:t>
      </w:r>
    </w:p>
    <w:p>
      <w:pPr>
        <w:spacing w:after="0" w:line="29" w:lineRule="exact"/>
        <w:rPr>
          <w:sz w:val="20"/>
          <w:szCs w:val="20"/>
          <w:color w:val="auto"/>
        </w:rPr>
      </w:pPr>
    </w:p>
    <w:p>
      <w:pPr>
        <w:jc w:val="both"/>
        <w:ind w:firstLine="8"/>
        <w:spacing w:after="0" w:line="251" w:lineRule="auto"/>
        <w:tabs>
          <w:tab w:leader="none" w:pos="2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committee; (ii) the company’s board of directors, and (iii) the company’s shareholders by a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provides detailed reasons for their decision. In addition, the compensation committee may exempt the engagement terms of a candidate to serve as the chief executive officer from shareholders’ approval, if the compensation committee determines that the compensation arrangement is consistent with the company’s stated compensation policy, that the chief executive officer did not have a prior business relationship with the company or a controlling shareholder of the company, and that subjecting the approval to a shareholder vote would impede the company’s ability to attain the candidate to serve as the company’s chief executive officer (and provide detailed reasons for the latter).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approval of each of the compensation committee and the board of directors, with regard to the office holders and directors above, must be in accordance with the company’s stated compensation policy; however, under special circumstances, the compensation committee and the board of directors may approve compensation terms of a chief executive officer that are inconsistent with the company’s compensation policy provided that they have considered those provisions that must be included in the compensation policy according to the Companies Law and that shareholder approval was obtained by a special majority requirement.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in voting at general meetings of shareholders (and at shareholder class meetings) on the following matters:</w:t>
      </w:r>
    </w:p>
    <w:p>
      <w:pPr>
        <w:spacing w:after="0" w:line="176"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company’s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shareholder also has a general duty to refrain from oppressing other shareholders. The remedies generally available upon a breach of contract will also apply to a breach of the above mentioned duties, and in the event of oppression of other shareholders, additional remedies are available to the injured shareholder.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do not have any controlling shareholder as defined by the Companies Law. See “Major Shareholders and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4.B. Business Overview—Employees.”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7.A. Major Shareholders”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one equity incentive plan (the “Option Plan”). As of May 13, 2022, the number of ordinary shares reserved for issuance under the Option Plan was 2,332,352. As of May 13, 2022, 1,223,596 options to purchase 1,223,596 ordinary shares were issued and outstanding, of which 814,015 options were vested as of that date, with an exercise price approximately $6.1393 per share. Our board may, at any time during the term of the Option Plan increase the number of shares available for grant under the Option Plan subject to any required approval of the our shareholders of such increase if so required under applicable laws and/or our incorporation documents and/or any shareholders agreement, as shall be in effect from time to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Option Plan was adopted by our board of directors on January 31, 2017, and awards may be granted under the Option Plan until January 31, 2027. Our Option Plan was last amended in March 2022. Our employees, directors, officers, and services providers, including those who are our controlling shareholders, as well as those of our affiliated companies, are eligible to participate in this Option Plan.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Option Plan is administered by our board of directors, regarding the granting of options and the terms of option grants, including exercise price, method of payment, vesting schedule, acceleration of vesting and the other matters necessary in the administration of this Option Plan. Eligible Israeli employees, officers and directors, would qualify for provisions of Section 102(b)(2) of the Tax Ordinance. Pursuant to such Section 102(b)(2), qualifying options and shares issued upon exercise of such options are held in trust and registered in the name of a trustee selected by the board of directors. The trustee may not release these options or shares to the holders thereof for two years from the date of the registration of the options in the name of the trustee.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 Our Israeli non-employee service providers and controlling shareholders may only be granted options under Section 3(9) of the Tax Ordinance, which does not provide for similar tax benefits. The Option Plan also permits granting options to Israeli grantees who do not qualify under Section 102(b)(2).</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default, our Option Plan provides that upon termination of employment for any reason, other than in the event of death or disability, all unvested options will expire and all vested options will generally be exercisable for one month following such termination, if we initiate such termination, or two weeks following such termination, if an employee initiates such termination, or such other period as determined by the Option Plan administrator, subject to the terms of the Option Plan and the governing option agreement. Notwithstanding the foregoing, in the event the employment is terminated for cause (including, inter alia, a breach of confidentiality or non-compete obligations to us, and commission of an act involving moral turpitude or an act that causes harm to us) all options granted to such employee, whether vested or unvested, will not be exercisable and will terminate on the date of the termination of his employment.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termination of employment due to death or disability, all the options vested at the time of termination will generally be exercisable for six months, or such other period as determined by the Option Plan administrator, subject to the terms of the Option Plan and the governing option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May 13, 2022 by:</w:t>
      </w:r>
    </w:p>
    <w:p>
      <w:pPr>
        <w:spacing w:after="0" w:line="158"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our outstanding ordinary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May 13, 2022 are deemed outstanding for the purpose of computing the percentage ownership of the person holding the options or warrants but are not deemed outstanding for the purpose of computing the percentage ownership of any other person.</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indicated in the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Rail Vision Ltd., 15 Ha’Tidhar St., Ra’anana, 4366517 Israel.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32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5"/>
        </w:trPr>
        <w:tc>
          <w:tcPr>
            <w:tcW w:w="6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Holders of more than 5% of our voting securities:</w:t>
            </w:r>
          </w:p>
        </w:tc>
        <w:tc>
          <w:tcPr>
            <w:tcW w:w="2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Knorr-Bremse (1)</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5,248,427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Foresight Autonomous Holdings Ltd. (2)</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2,688,432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7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 who are not 5% holders:</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Elen Katz* (3)</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Shahar Hania</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448,668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Itschak Shrem (3)</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99,748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Ofer Naveh</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53,108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Zachi Bar-Yehoshua</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32,164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Shmuel Donnerstein* (4)</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312,664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Yoresh *</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Ofer Grisaro</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Klir</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Maximilian Eichhorn*</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Sebastian Riedel*</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Yossi Daskal *</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Inbal Kreiss *</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Oz Adler**</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senior management as a group (13 persons)</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1,403,204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34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Indicates director of the Company.</w:t>
            </w: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is nominated by the Board to serve as an external director subject to and effective as of the approval of his nomination by the Company’s annual shareholders meeting.</w:t>
      </w:r>
    </w:p>
    <w:p>
      <w:pPr>
        <w:spacing w:after="0" w:line="94" w:lineRule="exact"/>
        <w:rPr>
          <w:sz w:val="20"/>
          <w:szCs w:val="20"/>
          <w:color w:val="auto"/>
        </w:rPr>
      </w:pPr>
    </w:p>
    <w:p>
      <w:pPr>
        <w:jc w:val="both"/>
        <w:ind w:left="340" w:hanging="332"/>
        <w:spacing w:after="0" w:line="220" w:lineRule="exact"/>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5,248,427 ordinary shares and (ii) 605,151 warrants to purchase 605,151 ordinary shares. The shareholder is Knorr-Bremse Systeme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Schienenfahrzeuge GmbH, which is a 100% subsidiary of Knorr-Bremse AG which is a German company publicly traded on the Frankfurt Stock Exchange. As of April 30, 2022, chief financial officer Mr. Frank Markus Weber has assumed additional duties of chief executive officer on an interim basis until a new chief executive officer is appointed to Knorr-Bremse AG.</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2,446,152 ordinary shares, and (ii) 242,280 warrants to purchase 242,280 ordinary shares. Foresight Autonomous Holdings Ltd. is an Israeli company publicly traded on the Nasdaq. The chief executive officer of Foresight is Haim Siboni, and its address is 7 Golda Meir, Ness Ziona 7403650 Israel.</w:t>
      </w:r>
    </w:p>
    <w:p>
      <w:pPr>
        <w:spacing w:after="0" w:line="9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43,208 ordinary shares, held by Yaad Consulting and Management Services Ltd., a company wholly owned by Mr. Shrem, (ii) options to purchase 42,108 ordinary shares exercisable within 60 days of May 13, 2022 held by Mr. Shrem, and (iii) 14,432 ordinary shares held by Shrem Zilberman Group Ltd., a company jointly controlled by Mr. Shrem and another individual. Mr. Shrem is not standing for re-election as a director on our Board of Directors, and accordingly his tenure as members of our Board of Directors will terminate automatically on May 31, 2022.</w:t>
      </w:r>
    </w:p>
    <w:p>
      <w:pPr>
        <w:spacing w:after="0" w:line="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34,232 ordinary shares, and (ii) 278,432 options vested.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9, 2022, there were 111 holders of record of our ordinary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controlled by another corporation, by any foreign government or by any natural or legal persons, except that that Knorr-Bremse beneficially owns 31.8%, and Foresight beneficially owns 16.7% of our outstanding ordinary shares as of the date of this Annual Report. There are no arrangements known to us which would result in a change in control of our company at a subsequent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those transactions with related parties to which we are party since January 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written employment or services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to certain of our officers and directors. Such option agreements may contain acceleration provisions upon certain merger, acquisition, or change of control transactions. We describe our Option Plan under “Management— Equity Incentive Plan.” If the relationship between us and an executive officer or a director is terminated, except for cause (as defined in the various Option Plan agreements), options that are vested will generally remain exercisable for one month following the date of such termination if we initiate such termination or two weeks following the date of such termination, if an executive officer or a director initiates such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We are a party to an amended and restated investors rights agreement, dated as of October 13, 2020, or Investors Rights Agreement, with our founders, or the Founders, and two of our major shareholders, Knorr-Bremse Systeme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Schienenfahrzeuge GmbH, a company incorporated under the laws of Germany, or KB, and Foresight Autonomous Holdings Ltd., or Foresight, and, together with KB and the Founders, the Right Holders. Pursuant to the Investors Rights Agreement, the Right Holders are entitled to certain registration rights following the closing of our initial public offering.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Knorr-Bremse</w:t>
      </w:r>
    </w:p>
    <w:p>
      <w:pPr>
        <w:spacing w:after="0" w:line="200"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On March 18, 2019 we entered into an investment agreement, or the March 2019 Investment Agreement, with Knorr-Bremse Systeme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Schienenfahrzeuge GmbH, or Knorr-Bremse, according to which, we issued to Knorr-Bremse an aggregate amount of 40,984 ordinary shares, at a price of $244 per share.</w:t>
      </w:r>
    </w:p>
    <w:p>
      <w:pPr>
        <w:spacing w:after="0" w:line="19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as part of the March 2019 Investment Agreement, we also granted Knorr-Bremse warrants to purchase 14,903 ordinary shares with an exercise price of $244, which can be exercised in the event of the exercise of certain warrants held by our other shareholders. Warrants to purchase 3,007 ordinary shares have been exercised in consideration of approximately $734,000. All the remaining warrants expired.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13, 2020, we entered into an additional investment agreement with Knorr-Bremse, or the Additional Investment Agreement, which was amended on December 2, 2021, pursuant to which we issued to Knorr-Bremse 51,282 Preferred A shares at a price of $195 per share.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Additional Investment Agreement, Knorr-Bremse agreed that in the event that we do not complete additional capital raising in the amount of at least $3 million by September 30, 2021, we had an option during the period from October 1, 2021 to March 31, 2022, to demand that Knorr-Bremse invest in us an additional amount of $5 million in consideration for the allotment of 25,641 Preferred A shares, at a price of $195 per share, subject to certain limitations. On February 14, 2022, we and Knorr-Bremse signed a second amendment to the Additional Investment Agreement according to which from February 14, 2022 we are entitled to exercise the option in two installments as follows: (i) to call for up to $2,000,000 out of the option amount no later than March 31, 2022; and (ii) to call for up to $2,286,000 out of the option amount no later than June 30, 2022. The aforesaid option expired on the closing of our initial public offering on April 4, 2022.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6, 2022, we issued to Knorr-Bremse, a total of 10,256 Preferred A shares at a price of $195 per share, after we called an amount of $2,000,000 out of the option amount.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2021, we reached a co-operation and business development agreement with Knorr-Bremse India Pvt. Ltd., in which Knorr-Bremse India Pvt. Ltd. provided a joint proposal to a tender published by the Ministry of Railways of the Government of India for obstacle detection systems for trains in the RV2000 system market segment. As part of the joint bid Knorr-Bremse India Pvt. Ltd. provided a guarantee of $27,000 to secure our proposal. On January 10, 2022, Knorr-Bremse informed us they did not receive the tender. However, the parties intend to collaborate on future projects. See “Business – Commercial Agreements” for additional commercial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2022, we entered into a SAFE with two of our current shareholders providing for financing in the aggregate amount of $1,000,000 (KB in the amount of $714,286 and Foresight in the amount of $285,714) which was subsequently amended in March 2022. Upon our initial public offering on April 4, 2022, the SAFE converted into an aggregate of 242,131 ordinary shares and warrants to purchase 242,131 ordinary shares. The warrants issued have the same terms as the warrants issued in our initial public offering except that such warrants shall be unregistered and shall not be tradeable.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do business with other companies affiliated with our principal shareholders, as described above. We believe that all such arrangements have been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4.B. 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anticipate paying any cash dividends in the foreseeable future. However, 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will provide that dividend distributions may be determined by our board of directors.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Companies Law, the distribution of dividends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 of dividends may be subject to Israeli withholding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otherwise described in this Annual Report on Form 20-F and as set forth below, no significant change has occurred in our operations since the date of our financial statements included in this Annual Report on Form 20-F.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2022, our ordinary shares and warrants commenced trading on the Nasdaq Capital Market under the symbols “RVSN,” and “RVSNW,”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Articles of Association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attached as Exhibit 1.1 to this Annual Report. Other than as disclosed below, the information called for by this Item is set forth in Exhibit 2.1 to this Annual Report and is incorporated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Our Company,” Item 7B “Major Shareholders and Related Party Transactions - Related Party Transactions” or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summary describes certain United States federal income tax considerations generally applicable to United States Holders (as defined below) of our ordinary shares and warrants, which we collectively refer to as securities, and the ordinary shares issued or issuable upon the exercise of such warrants. This summary deals only with our securities held as capital assets within the meaning of Section 1221 of the Internal Revenue Code of 1986, as amended, or Internal Revenue Code. This summary also does not address the tax consequences that may be relevant to holders in special tax situations including, without limitation, dealers in securities, traders that elect to use a mark-to-market method of accounting, holders that own our securities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securities in a compensatory transaction, holders which are entities or arrangements treated as partnerships for United States federal income tax purposes or holders that actually or constructively through attribution own 10% or more of the total voting power or value of our outstanding ordinary shares.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or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 As used herein, the term “United States Holder” means a beneficial owner of our securities that is, for United States federal income tax purposes, (i) an individual who is a citizen or resident of the United States,</w:t>
      </w:r>
    </w:p>
    <w:p>
      <w:pPr>
        <w:spacing w:after="0" w:line="5" w:lineRule="exact"/>
        <w:rPr>
          <w:sz w:val="20"/>
          <w:szCs w:val="20"/>
          <w:color w:val="auto"/>
        </w:rPr>
      </w:pPr>
    </w:p>
    <w:p>
      <w:pPr>
        <w:jc w:val="both"/>
        <w:ind w:firstLine="8"/>
        <w:spacing w:after="0" w:line="253" w:lineRule="auto"/>
        <w:tabs>
          <w:tab w:leader="none" w:pos="2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Section 7701(a)(30) of the Internal Revenue Code, or (b) that has a valid election in effect under applicable United States Treasury regulations to be treated as a “United States person.”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United States federal income tax purposes acquires our securities, the tax treatment of a partner in the partnership generally will depend upon the status of the partner and the activities of the partnership. Partners of a partnership considering an investment in our securities should consult their tax advisors regarding the United States federal income tax consequences of acquiring, owning, and disposing of our securities.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discussion addresses only United States Holders and does not discuss any tax considerations other than United States federal income tax considerations. Prospective investors are urged to consult their own tax advisors regarding the United States federal, state, and local, and foreign tax consequences of the purchase, ownership, and disposition of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Paid on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intend to pay dividends in the foreseeable future. In the event that we do pay dividends, and subject to the discussion under the heading “Passive Foreign Investment Companies” below and the discussion of “Qualified Dividend Income” below, a United States Holder, other than certain United States Holders that are U.S. corporations, will be required to include in gross income as ordinary income the amount of any distribution paid on the securities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United States Holder’s tax basis for the securities to the extent thereof, and then capital gain. Corporate holders generally will not be allowed a deduction for dividends received. We do not expect to maintain calculations of our earnings and profits under U.S. federal income tax principles and, therefore, United States Holders should expect that the entire amount of any distribution generally will be reported as dividend income.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withholding tax (if any) paid on dividends on our securities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securities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securities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received by certain non-corporate United States Holders (including individuals) may be “qualified dividend income,” which is taxed at the lower capital gain rate, provided that (i) either our securities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securities generally are considered to be readily tradable on an established securities market in the United States if they are listed on the Nasdaq Capital Market, as our securities are expected to be. United States Holders should consult their tax advisors regarding the availability of the reduced tax rate on dividends paid with respect to our securities. The dividends will not be eligible for the dividends received deduction available to corporations in respect of dividends received from other United States corporations.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Sale, Exchange, or other Disposition of Securities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a United States Holder generally will recognize capital gain or loss for United States federal income tax purposes on the sale or other taxable disposition of our securities equal to the difference, if any, between the amount realized and the United States Holder’s adjusted tax basis in those securities. If any Israeli tax is imposed on the sale, exchange or other disposition of our securities, a United States Holder’s amount realized will include the gross amount of the proceeds of the deposits before deduction of the Israeli tax. In general, capital gains recognized by a non-corporate United States Holder, including an individual, are subject to a lower rate under current law if such United States Holder held securities for more than one year. The deductibility of capital losses is subject to limitations. Any such gain or loss generally will be treated as United States source income or loss for purposes of the foreign tax credit. A United States Holder’s initial tax basis in securities generally will equal the cost of such securities. Because gain for the sale or other taxable disposition of our securities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Israeli tax. United States Holders should consult their tax advisors as to whether the Israeli tax on gains may be creditable or deductible in light of their particular circumstances and their ability to apply the provisions of an applicable treaty.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company’s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the projected composition of our income and valuation of our assets, we believe we may have been a PFIC during 2021, and although we have not determined whether we will be a PFIC in 2022, or in any subsequent year, our operating results for any such years may cause us to be a PFIC. However, this is a factual determination that must be made annually after the close of each taxable year. Moreover, the value of our assets for purposes of the PFIC determination may be determined by reference to the public price of our securities and the future price, which could fluctuate significantly. In addition, it is possible that the IRS may take a contrary position with respect to our determination in any particular year, and therefore, there can be no assurance that we will not be classified as a PFIC for 2021, in the current taxable year or in the future. Certain adverse United States federal income tax consequences could apply to a United States Holder if we are treated as a PFIC for any taxable year during which such United States Holder holds our securities. Under the PFIC rules, if we were considered a PFIC at any time that a United States Holder holds our securities, we would continue to be treated as a PFIC with respect to such holder’s investment unless (i) we cease to be a PFIC, and (ii) the United States Holder has made a “deemed sale” election under the PFIC rules.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that a United States Holder holds our securities, unless the United States Holder makes one of the elections described below, any gain recognized by the United States Holder on a sale or other disposition of our securities would be allocated pro-rata over the United States Holder’s holding period for the securities.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securities exceeds 125% of the average of the annual distributions on the securities received during the preceding three years or the United States Holder’s holding period, whichever is shorter, that distribution would be subject to taxation in the same manner as gain on the sale or other disposition of our securities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securities. In addition, a timely election to treat us as a qualified electing fund under the Internal Revenue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are strongly urged to consult their tax advisors about the potential application of the PFIC rules to an investment in the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 payments and proceeds paid from the sale or other taxable disposition of our securities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securities paid within the United States or through certain U.S.-related financial intermediaries.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United States Holders are required to report their holdings of certain foreign financial assets, including equity of foreign entities, if the aggregate value of all of these assets exceeds certain threshold amounts. Our securities are expected to constitute foreign financial assets subject to these requirements unless the securities are held in an account at certain financial institutions. United States Holders should consult their tax advisors regarding the application of these reporting requirements.</w:t>
      </w:r>
    </w:p>
    <w:p>
      <w:pPr>
        <w:spacing w:after="0" w:line="176"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certain information reporting requirements of the Exchange Act, applicable to foreign private issuers and under those requirements will file reports with the SEC. The SEC maintains an internet site at http://www.sec.gov that contains reports, proxy and information statements and other information regarding issuers that file electronically with the SEC. Our filings with the SEC will also be available to the public through the SEC’s website at www.sec.gov.</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domestic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may submit to the SEC, on a Form 6-K, unaudited quarterly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some of our cash and cash equivalents is held in deposits that bear interest. Given the current low rates of interest we receive, we will not be adversely affected if such rates are reduced. Our market risk exposure is primarily a result of U.S. dollar/NIS exchange rates, which is discussed in detail in the following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 are subject to fluctuations due to changes in U.S. dollar/NIS currency exchange rates. A certain portion of our cash and cash equivalents is held in U.S. dollars, and the vast majority of our expenses is denominated in NIS. Changes of 5% and 10% in the U.S. dollar/NIS exchange rate would increase/decrease our operating expenses for the year ended December 31, 2021 by approximately 4.1% and 8.2%, respectively. However, these historical figures may not be indicative of future exposure, as we expect that the percentage of our NIS denominated expenses will decrease in the near future as our operations expand globally, therefore reducing our exposure to exchange rate fluctuations. 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monitor forecasts of our liquidity reserve (comprising cash and cash equivalents). We generally carry this out based on our expected cash flows in accordance with practice and limits set by our management. We are in the process of expanding our operations and the expenses associated therewith and we are therefore exposed to liquidity risk. However, we believe that our existing funds will enable us to fund our operating expenses and capital expenditure requirements for the twelve months following the date of this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modifications to the rights of security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2021,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independent registered public accounting firm regarding internal control over financial reporting due to an exemption for emerging growth companies provided in the JOBS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there were no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Mr. Oz Adler, subject to shareholder approval, will be a member of our audit committee and the audit committee financial expert, as defined under the rules under the Exchange Act., and. is independent in accordance with applicable Exchange Act rules and the Nasdaq Listing Rules. The current members of our audit committee are Mr. Yossi Daskal, and Mrs. Inbal Kreiss, each of which our board of directors has determined is independent in accordance with applicable Exchange Act rules and the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t>
      </w:r>
      <w:r>
        <w:rPr>
          <w:rFonts w:ascii="Times New Roman" w:cs="Times New Roman" w:eastAsia="Times New Roman" w:hAnsi="Times New Roman"/>
          <w:sz w:val="18"/>
          <w:szCs w:val="18"/>
          <w:i w:val="1"/>
          <w:iCs w:val="1"/>
          <w:color w:val="auto"/>
        </w:rPr>
        <w:t>www.railvision.io.</w:t>
      </w:r>
      <w:r>
        <w:rPr>
          <w:rFonts w:ascii="Times New Roman" w:cs="Times New Roman" w:eastAsia="Times New Roman" w:hAnsi="Times New Roman"/>
          <w:sz w:val="18"/>
          <w:szCs w:val="18"/>
          <w:color w:val="auto"/>
        </w:rPr>
        <w:t xml:space="preserve"> Information contained on, or that can be accessed through, our website does not constitute a part of this a part of this Annual Report on Form 20-F and is not incorporated by reference herein. If we make any amendment to the Code of Ethics or grant any waivers, including any implicit waiver, from a provision of the Code of Ethics, we will disclose the nature of such amendment or waiver on our website to the extent required by the rules and regulations of the SEC. We have not granted any waivers under our Code of Business Conduct and Ethics.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Brightman Almagor Zohar &amp; Co., a Firm in the Deloitte Global Network, an independent registered public accounting firm, or Deloitte, has served as our principal independent registered public accounting firm for the year ended December 31, 2020, and 2021.</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fees paid or to be paid by us to Brightman Almagor Zohar &amp; Co., a firm in the Deloitte Global Network, an independent registered public accounting firm, for all services, including audit services, for the years ended December 31, 2021, and 2020:</w:t>
      </w: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(USD in thousands)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provided in connection with the audit of our annual financial statements.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in connection with our initial public offering.</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for tax compliance, tax advice, and tax audits.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Auditors’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and warrants on the Nasdaq Capital Market, we are required to comply with the Nasdaq Stock Market rules. Under those rules, we may elect to follow certain corporate governance practices permitted under the Companies Law in lieu of compliance with corresponding corporate governance requirements otherwise imposed by the Nasdaq Stock Market rules for U.S. domestic issuers.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Israeli law and practice and subject to the exemption set forth in Rule 5615 of the Nasdaq Stock Market rules, we have elected to follow the provisions of the Companies Law, rather than the Nasdaq Stock Market rules, with respect to the following requirements: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both"/>
        <w:ind w:left="324" w:hanging="324"/>
        <w:spacing w:after="0" w:line="257"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of periodic reports to shareholders; proxy solicitation. </w:t>
      </w:r>
      <w:r>
        <w:rPr>
          <w:rFonts w:ascii="Times New Roman" w:cs="Times New Roman" w:eastAsia="Times New Roman" w:hAnsi="Times New Roman"/>
          <w:sz w:val="18"/>
          <w:szCs w:val="18"/>
          <w:color w:val="auto"/>
        </w:rPr>
        <w:t>As opposed to the Nasdaq Stock Market rules, which require listed 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While the Nasdaq Stock Market rules require that the quorum for purposes of any meeting of the holders of a listed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voting stock, as specified in the company’s bylaws, be no less than 33 1/3% of the company’s outstanding issued and outstanding share capital, under Israeli law, a company is entitled to determine in its articles of association the number of shareholders and percentage of holdings required for a quorum at a shareholders meeting. Our amended and restated articles of association provides that a quorum of two or more shareholders holding at least 50% of the voting rights in person or by proxy is required for commencement of business at a general meeting. However, the quorum set forth in our amended and restated articles of association with respect to an adjourned meeting consists of any number of shareholders present in person or by proxy.</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Nomination of our directors. </w:t>
      </w:r>
      <w:r>
        <w:rPr>
          <w:rFonts w:ascii="Times New Roman" w:cs="Times New Roman" w:eastAsia="Times New Roman" w:hAnsi="Times New Roman"/>
          <w:sz w:val="18"/>
          <w:szCs w:val="18"/>
          <w:color w:val="auto"/>
        </w:rPr>
        <w:t>Our amended and restated articles of association provides that with the exception of directors elected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and external directors, which will be elected by an annual or special meeting of our shareholders and shall hold office until the next annual meeting following one year from his or her election, or three (3) years period in case of external director, shareholders are entitled to appoint a director to the Company’s board of directors for each 10% of the Company’s outstanding share capital that they own and such appointment shall be for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 nominations for directors are made in accordance with the provisions of our amended and restated articles of association and the Companies Law. Nominations need not be made by a nominating committee of our board of directors consisting solely of independent directors, as required under the Nasdaq Stock Market rules.</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of officers. </w:t>
      </w:r>
      <w:r>
        <w:rPr>
          <w:rFonts w:ascii="Times New Roman" w:cs="Times New Roman" w:eastAsia="Times New Roman" w:hAnsi="Times New Roman"/>
          <w:sz w:val="18"/>
          <w:szCs w:val="18"/>
          <w:color w:val="auto"/>
        </w:rPr>
        <w:t>Israeli law and our amended and restated articles of association does not require that the independent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(or a compensation committee composed solely of independent members of our board of directors) determine an executive officer’s compensation, as is generally required under the Nasdaq Stock Market rules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Companies Law.</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Israeli law does not require that a majority of the directors serving on our board of directors be “independent,”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under Nasdaq Stock Market Rule 5605(a)(2), and rather requires we have at least two external directors who meet the requirements of the Companies Law, as described below under “Directors, Senior Management and Employees—Board Practices—External Directors.” The definition of independent director under Nasdaq Stock Market rules and external director under the Companies Law overlap to a significant degree such that we would generally expect the directors serving as external directors to satisfy the requirements to be independent under Nasdaq Stock Market rules. However, it is possible for a director to qualify as an ‘‘external director’’ under the Companies Law without qualifying as an ‘‘independent director’’ under the Nasdaq Stock Market rules, or vice-versa. Notwithstanding Israeli law, we believe that a majority of our directors are currently “independent” under the Nasdaq Stock Market rules. Our board of directors has determined that Mr. Yossi Daskal, Oz Adler, and Mrs. Inbal Kreiss are “independent” for purposes of the Nasdaq Stock Market rules.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“independent directors” as defined in the Companies Law. Furthermore, Israeli law does not require, nor do our independent directors conduct, regularly scheduled meetings at which only they are present, which the Nasdaq Stock Market rules otherwise require.</w:t>
      </w:r>
    </w:p>
    <w:p>
      <w:pPr>
        <w:spacing w:after="0" w:line="29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7" w:right="339" w:bottom="1440" w:gutter="0" w:footer="0" w:header="0"/>
        </w:sectPr>
      </w:pPr>
    </w:p>
    <w:bookmarkStart w:id="81" w:name="page82"/>
    <w:bookmarkEnd w:id="81"/>
    <w:p>
      <w:pPr>
        <w:jc w:val="both"/>
        <w:ind w:left="980" w:hanging="324"/>
        <w:spacing w:after="0" w:line="25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approval. </w:t>
      </w:r>
      <w:r>
        <w:rPr>
          <w:rFonts w:ascii="Times New Roman" w:cs="Times New Roman" w:eastAsia="Times New Roman" w:hAnsi="Times New Roman"/>
          <w:sz w:val="18"/>
          <w:szCs w:val="18"/>
          <w:color w:val="auto"/>
        </w:rPr>
        <w:t>We will seek shareholder approval for all corporate actions requiring such approval under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Law, rather than seeking approval for corporate actions in accordance with Nasdaq Stock Market Rule 5635. In particular, under this Nasdaq Stock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(although under the provisions of the Companies Law there is no requirement for shareholder approval for the adoption/amendment of the equity compensation plan); and (iv) issuances of 20% or more of the shares or voting rights (including securities convertible into, or exercisable for, equity) of a listed company via a private placement (and/or via sales by directors, officers or 5% shareholders) if such equity is issued (or sold) at below the greater of the book or market value of shares. By contrast, under the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and (iii) terms of employment or other engagement of the controlling shareholder of us or such controlling shareholder’s relative, which require special approval. In addition, under the Companies Law, a merger requires approval of the shareholders of each of the merging companies.</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Related Party Transactions</w:t>
      </w:r>
      <w:r>
        <w:rPr>
          <w:rFonts w:ascii="Times New Roman" w:cs="Times New Roman" w:eastAsia="Times New Roman" w:hAnsi="Times New Roman"/>
          <w:sz w:val="18"/>
          <w:szCs w:val="18"/>
          <w:color w:val="auto"/>
        </w:rPr>
        <w:t>. All related party transactions are approved in accordance with the requirements and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interested party acts and transaction as set forth in the Companies Law, which requires the approval of the audit committee, or the compensation committee, as the case may be, the board of directors and shareholders, as may be applicable, for specified transactions, rather than approval by the audit committee or other independent body of our board of directors as required under the Nasdaq Stock Market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2" w:name="page83"/>
    <w:bookmarkEnd w:id="8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and related information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financial statements and the related notes required by this Item are included in this Annual Report on Form 20-F beginning on page F-1.</w:t>
      </w:r>
    </w:p>
    <w:p>
      <w:pPr>
        <w:spacing w:after="0" w:line="3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65" w:right="7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10000" w:type="dxa"/>
            <w:vAlign w:val="bottom"/>
            <w:tcBorders>
              <w:bottom w:val="single" w:sz="8" w:color="auto"/>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Underwriting Agreement by and among Rail Vision Ltd. and the underwriter (included as Exhibit 1.1 to our Registration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Statement on Form F-1 as filed with the Securities and 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7"/>
                <w:szCs w:val="17"/>
                <w:color w:val="auto"/>
              </w:rPr>
            </w:pPr>
          </w:p>
        </w:tc>
        <w:tc>
          <w:tcPr>
            <w:tcW w:w="1000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Description of Securities Registered under Section 12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10000" w:type="dxa"/>
            <w:vAlign w:val="bottom"/>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Warrant (included as Exhibit 4.3 to the Registration Statement on Form F-1 as filed with the Securities and Exchange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7"/>
            <w:shd w:val="clear" w:color="auto" w:fill="CCEEFF"/>
          </w:tcPr>
          <w:p>
            <w:pPr>
              <w:ind w:left="20"/>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Commission March 24, 2022, as amended, and incorporated herein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Articles of Association of the Company, as currently in effect (included as Exhibit 3.2 to our Registration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Statement on Form F-1 as filed with the Securities and 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Underwriter’s Warrant (included as Exhibit 4.1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Warrant Agent Agreement (included as Exhibit 4.2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Indemnification Agreement (included as Exhibit 10.1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Rail Vision Ltd. Amended Share Option Plan (included as Exhibit 10.2 to our Registration Statement on Form F-1 as filed with the</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Securities and 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5"/>
                <w:szCs w:val="15"/>
                <w:color w:val="auto"/>
              </w:rPr>
            </w:pPr>
          </w:p>
        </w:tc>
        <w:tc>
          <w:tcPr>
            <w:tcW w:w="10000" w:type="dxa"/>
            <w:vAlign w:val="bottom"/>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Compensation Policy (included as Exhibit 10.3 to the Registration Statement on Form F-1 as filed with the Securities and Exchange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7"/>
            <w:shd w:val="clear" w:color="auto" w:fill="CCEEFF"/>
          </w:tcPr>
          <w:p>
            <w:pPr>
              <w:ind w:left="20"/>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Commission March 24, 2022, as amended, and incorporated herein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Investors’ Rights Agreement between the Company, Knorr-Bremse and Foresight, dated October 13, 2020</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(included as Exhibit 10.4 to our Registration Statement on Form F-1 as filed with the Securities and Exchange Commission on March 24,</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Cooperation Agreement, dated January 19, 2020, by and between Rail Vision Ltd. and Israel Railways (included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as Exhibit 10.5 to our Registration Statement on Form F-1 as filed with the Securities and Exchange Commission on March 24, 2022, and</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shd w:val="clear" w:color="auto" w:fill="CCEEFF"/>
              </w:rPr>
            </w:pPr>
            <w:hyperlink r:id="rId109">
              <w:r>
                <w:rPr>
                  <w:rFonts w:ascii="Times New Roman" w:cs="Times New Roman" w:eastAsia="Times New Roman" w:hAnsi="Times New Roman"/>
                  <w:sz w:val="18"/>
                  <w:szCs w:val="18"/>
                  <w:color w:val="0000EE"/>
                  <w:shd w:val="clear" w:color="auto" w:fill="CCEEFF"/>
                </w:rPr>
                <w:t>Framework agreement between the Company and Knorr-Bremse Rail Systems Schweiz AG, dated August 2020</w:t>
              </w:r>
            </w:hyperlink>
          </w:p>
        </w:tc>
        <w:tc>
          <w:tcPr>
            <w:tcW w:w="1880" w:type="dxa"/>
            <w:vAlign w:val="bottom"/>
            <w:tcBorders>
              <w:bottom w:val="single" w:sz="8" w:color="0000EE"/>
            </w:tcBorders>
            <w:gridSpan w:val="4"/>
            <w:shd w:val="clear" w:color="auto" w:fill="CCEEFF"/>
          </w:tcPr>
          <w:p>
            <w:pPr>
              <w:jc w:val="right"/>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(included as Exhibit 10.6</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to our Registration Statement on Form F-1 as filed with the Securities and Exchange Commission on March 24, 2022, and incorporated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5"/>
                <w:szCs w:val="15"/>
                <w:color w:val="auto"/>
              </w:rPr>
            </w:pPr>
          </w:p>
        </w:tc>
        <w:tc>
          <w:tcPr>
            <w:tcW w:w="6640" w:type="dxa"/>
            <w:vAlign w:val="bottom"/>
            <w:gridSpan w:val="9"/>
            <w:shd w:val="clear" w:color="auto" w:fill="CCEEFF"/>
          </w:tcPr>
          <w:p>
            <w:pPr>
              <w:ind w:left="20"/>
              <w:spacing w:after="0" w:line="176" w:lineRule="exact"/>
              <w:rPr>
                <w:rFonts w:ascii="Times New Roman" w:cs="Times New Roman" w:eastAsia="Times New Roman" w:hAnsi="Times New Roman"/>
                <w:sz w:val="18"/>
                <w:szCs w:val="18"/>
                <w:color w:val="0000EE"/>
                <w:shd w:val="clear" w:color="auto" w:fill="CCEEFF"/>
              </w:rPr>
            </w:pPr>
            <w:hyperlink r:id="rId110">
              <w:r>
                <w:rPr>
                  <w:rFonts w:ascii="Times New Roman" w:cs="Times New Roman" w:eastAsia="Times New Roman" w:hAnsi="Times New Roman"/>
                  <w:sz w:val="18"/>
                  <w:szCs w:val="18"/>
                  <w:color w:val="0000EE"/>
                  <w:shd w:val="clear" w:color="auto" w:fill="CCEEFF"/>
                </w:rPr>
                <w:t>Investment Agreement between the Company and Knorr-Bremse, dated October 13, 2020</w:t>
              </w:r>
            </w:hyperlink>
          </w:p>
        </w:tc>
        <w:tc>
          <w:tcPr>
            <w:tcW w:w="3360" w:type="dxa"/>
            <w:vAlign w:val="bottom"/>
            <w:gridSpan w:val="9"/>
            <w:shd w:val="clear" w:color="auto" w:fill="CCEEFF"/>
          </w:tcPr>
          <w:p>
            <w:pPr>
              <w:jc w:val="right"/>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(included as Exhibit 10.7 to our Registration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0000EE"/>
            </w:tcBorders>
            <w:gridSpan w:val="9"/>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Statement on Form F-1 as filed with the Securities and Exchange Commission on March 24,</w:t>
              </w:r>
            </w:hyperlink>
          </w:p>
        </w:tc>
        <w:tc>
          <w:tcPr>
            <w:tcW w:w="3340" w:type="dxa"/>
            <w:vAlign w:val="bottom"/>
            <w:tcBorders>
              <w:top w:val="single" w:sz="8" w:color="0000EE"/>
            </w:tcBorders>
            <w:gridSpan w:val="8"/>
            <w:shd w:val="clear" w:color="auto" w:fill="CCEEFF"/>
          </w:tcPr>
          <w:p>
            <w:pPr>
              <w:ind w:left="60"/>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2022, and incorporated herein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Strategic Partnership Agreement by and between the Company and Knorr-Bremse, dated August 19, 2021 (included as Exhibit 10.8 to our</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Registration Statement on Form F-1 as filed with the Securities and Exchange Commission on March 24, 2022, and incorporated herein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7"/>
                <w:szCs w:val="17"/>
                <w:color w:val="auto"/>
              </w:rPr>
            </w:pPr>
          </w:p>
        </w:tc>
        <w:tc>
          <w:tcPr>
            <w:tcW w:w="1000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rule 13a-14(a)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7"/>
                <w:szCs w:val="17"/>
                <w:color w:val="auto"/>
              </w:rPr>
            </w:pPr>
          </w:p>
        </w:tc>
        <w:tc>
          <w:tcPr>
            <w:tcW w:w="1000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rule 13a-14(a)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7"/>
                <w:szCs w:val="17"/>
                <w:color w:val="auto"/>
              </w:rPr>
            </w:pPr>
          </w:p>
        </w:tc>
        <w:tc>
          <w:tcPr>
            <w:tcW w:w="1000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18 U.S.C. 1350</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5"/>
                <w:szCs w:val="15"/>
                <w:color w:val="auto"/>
              </w:rPr>
            </w:pPr>
          </w:p>
        </w:tc>
        <w:tc>
          <w:tcPr>
            <w:tcW w:w="1000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18 U.S.C. 1350</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1260" w:hanging="1252"/>
        <w:spacing w:after="0" w:line="266" w:lineRule="auto"/>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Rail Vision Ltd.’s Annual Report on Form 20-F for the year ended December 31, 2021, formatted in Inline Extensible Business Reporting Language (XBRL): (i) Statement of Financial Position, (ii) Statements of Comprehensive Loss, (iii) Statements of Changes in Equity, (iv) Statements of Cash Flows and (iv)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906"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Form 20-F filed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tab/>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Shahar Hania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RAIL VISION LTD. FINANCIAL STATEMENTS</w:t>
            </w:r>
          </w:p>
        </w:tc>
        <w:tc>
          <w:tcPr>
            <w:tcW w:w="10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AS OF DECEMBER 31, 2021</w:t>
            </w:r>
          </w:p>
        </w:tc>
        <w:tc>
          <w:tcPr>
            <w:tcW w:w="10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10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160" w:type="dxa"/>
            <w:vAlign w:val="bottom"/>
            <w:gridSpan w:val="2"/>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45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ID 1197)</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Comprehensive Loss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Temporary Equity and Shareholders’ Equity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F-7 - F-27</w:t>
            </w:r>
          </w:p>
        </w:tc>
      </w:tr>
      <w:tr>
        <w:trPr>
          <w:trHeight w:val="655"/>
        </w:trPr>
        <w:tc>
          <w:tcPr>
            <w:tcW w:w="11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CCEEFF"/>
              <w:bottom w:val="single" w:sz="8" w:color="auto"/>
            </w:tcBorders>
          </w:tcPr>
          <w:p>
            <w:pPr>
              <w:spacing w:after="0"/>
              <w:rPr>
                <w:sz w:val="24"/>
                <w:szCs w:val="24"/>
                <w:color w:val="auto"/>
              </w:rPr>
            </w:pPr>
          </w:p>
        </w:tc>
        <w:tc>
          <w:tcPr>
            <w:tcW w:w="5160" w:type="dxa"/>
            <w:vAlign w:val="bottom"/>
            <w:tcBorders>
              <w:top w:val="single" w:sz="8" w:color="CCEEFF"/>
              <w:bottom w:val="single" w:sz="8" w:color="auto"/>
            </w:tcBorders>
            <w:gridSpan w:val="2"/>
          </w:tcPr>
          <w:p>
            <w:pPr>
              <w:jc w:val="center"/>
              <w:ind w:right="408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2125980" cy="557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2125980" cy="557530"/>
                    </a:xfrm>
                    <a:prstGeom prst="rect">
                      <a:avLst/>
                    </a:prstGeom>
                    <a:noFill/>
                  </pic:spPr>
                </pic:pic>
              </a:graphicData>
            </a:graphic>
          </wp:anchor>
        </w:drawing>
      </w:r>
    </w:p>
    <w:p>
      <w:pPr>
        <w:spacing w:after="0" w:line="327" w:lineRule="exact"/>
        <w:rPr>
          <w:sz w:val="20"/>
          <w:szCs w:val="20"/>
          <w:color w:val="auto"/>
        </w:rPr>
      </w:pPr>
    </w:p>
    <w:p>
      <w:pPr>
        <w:ind w:right="5060"/>
        <w:spacing w:after="0" w:line="27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Shareholders and Board of Directors of RAIL VISION LTD.</w:t>
      </w:r>
    </w:p>
    <w:p>
      <w:pPr>
        <w:spacing w:after="0" w:line="3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Rail Vision Ltd. (the “Company”) as of December 31, 2021 and 2020 and the related statements of comprehensive loss, change in temporary equity and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154305</wp:posOffset>
            </wp:positionV>
            <wp:extent cx="5640705" cy="12426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64070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6640" w:type="dxa"/>
            <w:vAlign w:val="bottom"/>
            <w:gridSpan w:val="6"/>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8D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9"/>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7"/>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7,312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 right of use asset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9"/>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 liabilities</w:t>
            </w:r>
          </w:p>
        </w:tc>
        <w:tc>
          <w:tcPr>
            <w:tcW w:w="594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7"/>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gridSpan w:val="7"/>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196"/>
        </w:trPr>
        <w:tc>
          <w:tcPr>
            <w:tcW w:w="1400" w:type="dxa"/>
            <w:vAlign w:val="bottom"/>
            <w:tcBorders>
              <w:top w:val="single" w:sz="8" w:color="CCEEFF"/>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Temporary equity</w:t>
            </w:r>
          </w:p>
        </w:tc>
        <w:tc>
          <w:tcPr>
            <w:tcW w:w="59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Preferred A shares, NIS 0.01 par value; Authorized 100,000 shares; Issued and outstanding: 51,282</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shares as of December 31, 2021 and 2020; Aggregate liquidation preference of $10,000 and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32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$5,000 as of December 31, 2021 and 2020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9,965</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NIS 0.01 par value; Authorized 99,900,000 shares; Issued and outstanding:</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9,157,324 and 9,136,600 shares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35,001</w:t>
            </w:r>
          </w:p>
        </w:tc>
        <w:tc>
          <w:tcPr>
            <w:tcW w:w="0" w:type="dxa"/>
            <w:vAlign w:val="bottom"/>
          </w:tcPr>
          <w:p>
            <w:pPr>
              <w:spacing w:after="0"/>
              <w:rPr>
                <w:sz w:val="1"/>
                <w:szCs w:val="1"/>
                <w:color w:val="auto"/>
              </w:rPr>
            </w:pPr>
          </w:p>
        </w:tc>
      </w:tr>
      <w:tr>
        <w:trPr>
          <w:trHeight w:val="250"/>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(44,339)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(34,119)</w:t>
            </w:r>
          </w:p>
        </w:tc>
        <w:tc>
          <w:tcPr>
            <w:tcW w:w="0" w:type="dxa"/>
            <w:vAlign w:val="bottom"/>
          </w:tcPr>
          <w:p>
            <w:pPr>
              <w:spacing w:after="0"/>
              <w:rPr>
                <w:sz w:val="1"/>
                <w:szCs w:val="1"/>
                <w:color w:val="auto"/>
              </w:rPr>
            </w:pPr>
          </w:p>
        </w:tc>
      </w:tr>
      <w:tr>
        <w:trPr>
          <w:trHeight w:val="278"/>
        </w:trPr>
        <w:tc>
          <w:tcPr>
            <w:tcW w:w="7320" w:type="dxa"/>
            <w:vAlign w:val="bottom"/>
            <w:tcBorders>
              <w:top w:val="single" w:sz="8" w:color="CCEEFF"/>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2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LIABILITIES, TEMPORARY EQUITY AND SHAREHOLDERS’ EQUITY</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Related Parties</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(7,156)</w:t>
            </w:r>
          </w:p>
        </w:tc>
      </w:tr>
      <w:tr>
        <w:trPr>
          <w:trHeight w:val="216"/>
        </w:trPr>
        <w:tc>
          <w:tcPr>
            <w:tcW w:w="5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(10,046)</w:t>
            </w:r>
          </w:p>
        </w:tc>
      </w:tr>
      <w:tr>
        <w:trPr>
          <w:trHeight w:val="216"/>
        </w:trPr>
        <w:tc>
          <w:tcPr>
            <w:tcW w:w="5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(10,220</w:t>
            </w:r>
            <w:r>
              <w:rPr>
                <w:rFonts w:ascii="Times New Roman" w:cs="Times New Roman" w:eastAsia="Times New Roman" w:hAnsi="Times New Roman"/>
                <w:sz w:val="29"/>
                <w:szCs w:val="29"/>
                <w:color w:val="auto"/>
                <w:vertAlign w:val="superscript"/>
              </w:rPr>
              <w:t>)</w:t>
            </w:r>
          </w:p>
        </w:tc>
        <w:tc>
          <w:tcPr>
            <w:tcW w:w="240" w:type="dxa"/>
            <w:vAlign w:val="bottom"/>
          </w:tcPr>
          <w:p>
            <w:pPr>
              <w:spacing w:after="0"/>
              <w:rPr>
                <w:sz w:val="24"/>
                <w:szCs w:val="24"/>
                <w:color w:val="auto"/>
              </w:rPr>
            </w:pPr>
          </w:p>
        </w:tc>
        <w:tc>
          <w:tcPr>
            <w:tcW w:w="108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(10,707</w:t>
            </w:r>
            <w:r>
              <w:rPr>
                <w:rFonts w:ascii="Times New Roman" w:cs="Times New Roman" w:eastAsia="Times New Roman" w:hAnsi="Times New Roman"/>
                <w:sz w:val="29"/>
                <w:szCs w:val="29"/>
                <w:color w:val="auto"/>
                <w:vertAlign w:val="superscript"/>
              </w:rPr>
              <w:t>)</w:t>
            </w:r>
          </w:p>
        </w:tc>
        <w:tc>
          <w:tcPr>
            <w:tcW w:w="280" w:type="dxa"/>
            <w:vAlign w:val="bottom"/>
          </w:tcPr>
          <w:p>
            <w:pPr>
              <w:spacing w:after="0"/>
              <w:rPr>
                <w:sz w:val="24"/>
                <w:szCs w:val="24"/>
                <w:color w:val="auto"/>
              </w:rPr>
            </w:pPr>
          </w:p>
        </w:tc>
        <w:tc>
          <w:tcPr>
            <w:tcW w:w="9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(10,032</w:t>
            </w:r>
            <w:r>
              <w:rPr>
                <w:rFonts w:ascii="Times New Roman" w:cs="Times New Roman" w:eastAsia="Times New Roman" w:hAnsi="Times New Roman"/>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Basic and diluted loss per ordinary share</w:t>
            </w:r>
          </w:p>
        </w:tc>
        <w:tc>
          <w:tcPr>
            <w:tcW w:w="124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(1.12</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(1.17</w:t>
            </w:r>
            <w:r>
              <w:rPr>
                <w:rFonts w:ascii="Times New Roman" w:cs="Times New Roman" w:eastAsia="Times New Roman" w:hAnsi="Times New Roman"/>
                <w:sz w:val="29"/>
                <w:szCs w:val="29"/>
                <w:color w:val="auto"/>
                <w:vertAlign w:val="superscript"/>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(1.25</w:t>
            </w:r>
            <w:r>
              <w:rPr>
                <w:rFonts w:ascii="Times New Roman" w:cs="Times New Roman" w:eastAsia="Times New Roman" w:hAnsi="Times New Roman"/>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used in computing</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9,148,143</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9,136,600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8,038,140</w:t>
            </w:r>
          </w:p>
        </w:tc>
        <w:tc>
          <w:tcPr>
            <w:tcW w:w="100" w:type="dxa"/>
            <w:vAlign w:val="bottom"/>
          </w:tcPr>
          <w:p>
            <w:pPr>
              <w:spacing w:after="0"/>
              <w:rPr>
                <w:sz w:val="24"/>
                <w:szCs w:val="24"/>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Temporary Equity and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Convertible Preferred A</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Borders>
              <w:bottom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 (deficit)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6,137,340</w:t>
            </w:r>
          </w:p>
        </w:tc>
        <w:tc>
          <w:tcPr>
            <w:tcW w:w="8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(13,380)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CHANGES DURING</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9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and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1,803,296</w:t>
            </w:r>
          </w:p>
        </w:tc>
        <w:tc>
          <w:tcPr>
            <w:tcW w:w="8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9,941</w:t>
            </w:r>
          </w:p>
        </w:tc>
        <w:tc>
          <w:tcPr>
            <w:tcW w:w="0" w:type="dxa"/>
            <w:vAlign w:val="bottom"/>
          </w:tcPr>
          <w:p>
            <w:pPr>
              <w:spacing w:after="0"/>
              <w:rPr>
                <w:sz w:val="1"/>
                <w:szCs w:val="1"/>
                <w:color w:val="auto"/>
              </w:rPr>
            </w:pPr>
          </w:p>
        </w:tc>
      </w:tr>
      <w:tr>
        <w:trPr>
          <w:trHeight w:val="198"/>
        </w:trPr>
        <w:tc>
          <w:tcPr>
            <w:tcW w:w="19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from exercise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1,195,964</w:t>
            </w:r>
          </w:p>
        </w:tc>
        <w:tc>
          <w:tcPr>
            <w:tcW w:w="8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16"/>
        </w:trPr>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37"/>
        </w:trPr>
        <w:tc>
          <w:tcPr>
            <w:tcW w:w="1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(10,032)</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right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9,136,600</w:t>
            </w:r>
          </w:p>
        </w:tc>
        <w:tc>
          <w:tcPr>
            <w:tcW w:w="8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33,052</w:t>
            </w:r>
          </w:p>
        </w:tc>
        <w:tc>
          <w:tcPr>
            <w:tcW w:w="1260" w:type="dxa"/>
            <w:vAlign w:val="bottom"/>
            <w:gridSpan w:val="2"/>
            <w:shd w:val="clear" w:color="auto" w:fill="CCEEFF"/>
          </w:tcPr>
          <w:p>
            <w:pPr>
              <w:jc w:val="right"/>
              <w:ind w:right="80"/>
              <w:spacing w:after="0" w:line="278" w:lineRule="exact"/>
              <w:rPr>
                <w:sz w:val="20"/>
                <w:szCs w:val="20"/>
                <w:color w:val="auto"/>
              </w:rPr>
            </w:pPr>
            <w:r>
              <w:rPr>
                <w:rFonts w:ascii="Times New Roman" w:cs="Times New Roman" w:eastAsia="Times New Roman" w:hAnsi="Times New Roman"/>
                <w:sz w:val="17"/>
                <w:szCs w:val="17"/>
                <w:color w:val="auto"/>
              </w:rPr>
              <w:t>(23,412</w:t>
            </w:r>
            <w:r>
              <w:rPr>
                <w:rFonts w:ascii="Times New Roman" w:cs="Times New Roman" w:eastAsia="Times New Roman" w:hAnsi="Times New Roman"/>
                <w:sz w:val="32"/>
                <w:szCs w:val="32"/>
                <w:color w:val="auto"/>
                <w:vertAlign w:val="superscript"/>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CHANGES DURING</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9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shares,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issuance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51,282</w:t>
            </w:r>
          </w:p>
        </w:tc>
        <w:tc>
          <w:tcPr>
            <w:tcW w:w="2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36"/>
        </w:trPr>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51,282</w:t>
            </w:r>
          </w:p>
        </w:tc>
        <w:tc>
          <w:tcPr>
            <w:tcW w:w="260" w:type="dxa"/>
            <w:vAlign w:val="bottom"/>
          </w:tcPr>
          <w:p>
            <w:pPr>
              <w:spacing w:after="0"/>
              <w:rPr>
                <w:sz w:val="24"/>
                <w:szCs w:val="24"/>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9,136,600</w:t>
            </w:r>
          </w:p>
        </w:tc>
        <w:tc>
          <w:tcPr>
            <w:tcW w:w="82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35,001</w:t>
            </w:r>
          </w:p>
        </w:tc>
        <w:tc>
          <w:tcPr>
            <w:tcW w:w="1260" w:type="dxa"/>
            <w:vAlign w:val="bottom"/>
            <w:gridSpan w:val="2"/>
          </w:tcPr>
          <w:p>
            <w:pPr>
              <w:jc w:val="right"/>
              <w:ind w:right="80"/>
              <w:spacing w:after="0" w:line="278" w:lineRule="exact"/>
              <w:rPr>
                <w:sz w:val="20"/>
                <w:szCs w:val="20"/>
                <w:color w:val="auto"/>
              </w:rPr>
            </w:pPr>
            <w:r>
              <w:rPr>
                <w:rFonts w:ascii="Times New Roman" w:cs="Times New Roman" w:eastAsia="Times New Roman" w:hAnsi="Times New Roman"/>
                <w:sz w:val="17"/>
                <w:szCs w:val="17"/>
                <w:color w:val="auto"/>
              </w:rPr>
              <w:t>(34,119</w:t>
            </w:r>
            <w:r>
              <w:rPr>
                <w:rFonts w:ascii="Times New Roman" w:cs="Times New Roman" w:eastAsia="Times New Roman" w:hAnsi="Times New Roman"/>
                <w:sz w:val="32"/>
                <w:szCs w:val="32"/>
                <w:color w:val="auto"/>
                <w:vertAlign w:val="superscript"/>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CHANGES DURING</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auto"/>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9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as 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result of exercise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20,724</w:t>
            </w:r>
          </w:p>
        </w:tc>
        <w:tc>
          <w:tcPr>
            <w:tcW w:w="8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304"/>
        </w:trPr>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(10,220</w:t>
            </w:r>
            <w:r>
              <w:rPr>
                <w:rFonts w:ascii="Times New Roman" w:cs="Times New Roman" w:eastAsia="Times New Roman" w:hAnsi="Times New Roman"/>
                <w:sz w:val="29"/>
                <w:szCs w:val="29"/>
                <w:color w:val="auto"/>
                <w:vertAlign w:val="superscript"/>
              </w:rPr>
              <w:t>)</w:t>
            </w:r>
          </w:p>
        </w:tc>
        <w:tc>
          <w:tcPr>
            <w:tcW w:w="130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(10,220</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153"/>
        </w:trPr>
        <w:tc>
          <w:tcPr>
            <w:tcW w:w="1940" w:type="dxa"/>
            <w:vAlign w:val="bottom"/>
            <w:tcBorders>
              <w:top w:val="single" w:sz="8" w:color="CCEEFF"/>
            </w:tcBorders>
            <w:gridSpan w:val="4"/>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51,282</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9,965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9,157,324</w:t>
            </w:r>
          </w:p>
        </w:tc>
        <w:tc>
          <w:tcPr>
            <w:tcW w:w="8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35,987</w:t>
            </w:r>
          </w:p>
        </w:tc>
        <w:tc>
          <w:tcPr>
            <w:tcW w:w="1260" w:type="dxa"/>
            <w:vAlign w:val="bottom"/>
            <w:gridSpan w:val="2"/>
            <w:shd w:val="clear" w:color="auto" w:fill="CCEEFF"/>
          </w:tcPr>
          <w:p>
            <w:pPr>
              <w:jc w:val="right"/>
              <w:ind w:right="80"/>
              <w:spacing w:after="0" w:line="278" w:lineRule="exact"/>
              <w:rPr>
                <w:sz w:val="20"/>
                <w:szCs w:val="20"/>
                <w:color w:val="auto"/>
              </w:rPr>
            </w:pPr>
            <w:r>
              <w:rPr>
                <w:rFonts w:ascii="Times New Roman" w:cs="Times New Roman" w:eastAsia="Times New Roman" w:hAnsi="Times New Roman"/>
                <w:sz w:val="17"/>
                <w:szCs w:val="17"/>
                <w:color w:val="auto"/>
              </w:rPr>
              <w:t>(44,339</w:t>
            </w:r>
            <w:r>
              <w:rPr>
                <w:rFonts w:ascii="Times New Roman" w:cs="Times New Roman" w:eastAsia="Times New Roman" w:hAnsi="Times New Roman"/>
                <w:sz w:val="32"/>
                <w:szCs w:val="32"/>
                <w:color w:val="auto"/>
                <w:vertAlign w:val="superscript"/>
              </w:rPr>
              <w:t>)</w:t>
            </w:r>
          </w:p>
        </w:tc>
        <w:tc>
          <w:tcPr>
            <w:tcW w:w="1300" w:type="dxa"/>
            <w:vAlign w:val="bottom"/>
            <w:gridSpan w:val="3"/>
            <w:shd w:val="clear" w:color="auto" w:fill="CCEEFF"/>
          </w:tcPr>
          <w:p>
            <w:pPr>
              <w:jc w:val="right"/>
              <w:ind w:right="40"/>
              <w:spacing w:after="0" w:line="278" w:lineRule="exact"/>
              <w:rPr>
                <w:sz w:val="20"/>
                <w:szCs w:val="20"/>
                <w:color w:val="auto"/>
              </w:rPr>
            </w:pPr>
            <w:r>
              <w:rPr>
                <w:rFonts w:ascii="Times New Roman" w:cs="Times New Roman" w:eastAsia="Times New Roman" w:hAnsi="Times New Roman"/>
                <w:sz w:val="17"/>
                <w:szCs w:val="17"/>
                <w:color w:val="auto"/>
              </w:rPr>
              <w:t>(8,327</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175"/>
        </w:trPr>
        <w:tc>
          <w:tcPr>
            <w:tcW w:w="73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5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73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3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Increase (decrease) in 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73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accounts payable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(9,948)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4600" w:type="dxa"/>
            <w:vAlign w:val="bottom"/>
            <w:tcBorders>
              <w:top w:val="single" w:sz="8" w:color="CCEEFF"/>
            </w:tcBorders>
            <w:gridSpan w:val="4"/>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A shares, net of issuance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and warrants, net of issuance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9,941</w:t>
            </w:r>
          </w:p>
        </w:tc>
        <w:tc>
          <w:tcPr>
            <w:tcW w:w="0" w:type="dxa"/>
            <w:vAlign w:val="bottom"/>
          </w:tcPr>
          <w:p>
            <w:pPr>
              <w:spacing w:after="0"/>
              <w:rPr>
                <w:sz w:val="1"/>
                <w:szCs w:val="1"/>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exercise of warrants, net of issuance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49"/>
        </w:trPr>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gridSpan w:val="6"/>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5,057</w:t>
            </w:r>
          </w:p>
        </w:tc>
        <w:tc>
          <w:tcPr>
            <w:tcW w:w="0" w:type="dxa"/>
            <w:vAlign w:val="bottom"/>
          </w:tcPr>
          <w:p>
            <w:pPr>
              <w:spacing w:after="0"/>
              <w:rPr>
                <w:sz w:val="1"/>
                <w:szCs w:val="1"/>
                <w:color w:val="auto"/>
              </w:rPr>
            </w:pPr>
          </w:p>
        </w:tc>
      </w:tr>
      <w:tr>
        <w:trPr>
          <w:trHeight w:val="237"/>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6,943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1,849</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6,943</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9,300</w:t>
            </w:r>
          </w:p>
        </w:tc>
        <w:tc>
          <w:tcPr>
            <w:tcW w:w="0" w:type="dxa"/>
            <w:vAlign w:val="bottom"/>
          </w:tcPr>
          <w:p>
            <w:pPr>
              <w:spacing w:after="0"/>
              <w:rPr>
                <w:sz w:val="1"/>
                <w:szCs w:val="1"/>
                <w:color w:val="auto"/>
              </w:rPr>
            </w:pPr>
          </w:p>
        </w:tc>
      </w:tr>
      <w:tr>
        <w:trPr>
          <w:trHeight w:val="21"/>
        </w:trPr>
        <w:tc>
          <w:tcPr>
            <w:tcW w:w="1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9,120</w:t>
            </w:r>
          </w:p>
        </w:tc>
        <w:tc>
          <w:tcPr>
            <w:tcW w:w="0" w:type="dxa"/>
            <w:vAlign w:val="bottom"/>
          </w:tcPr>
          <w:p>
            <w:pPr>
              <w:spacing w:after="0"/>
              <w:rPr>
                <w:sz w:val="1"/>
                <w:szCs w:val="1"/>
                <w:color w:val="auto"/>
              </w:rPr>
            </w:pPr>
          </w:p>
        </w:tc>
      </w:tr>
      <w:tr>
        <w:trPr>
          <w:trHeight w:val="229"/>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6"/>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6,943</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9,300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 Cash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expenses against additional paid in capital (see note 6A)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jc w:val="both"/>
        <w:ind w:left="980" w:hanging="324"/>
        <w:spacing w:after="0" w:line="256" w:lineRule="auto"/>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Rail Vision Ltd. (the “Company”) was incorporated on April 18, 2016 in Israel. The Company is a development-stage technology company that is engaged in the design, development and assembly of railway detection systems designed to solve the challenges in railway operational safety, efficiency, and predictive maintenance. The Company’s railway detection systems include different types of cameras, including optics, visible light spectrum cameras (video) and thermal cameras that transmit data to a ruggedized on-board computer which is designed to be suitable for the rough environment of a train’s locomotive. The Company’s ordinary shares and warrants began trading on the Nasdaq Capital Market (“Nasdaq”) on March 31, 2022, under the symbols “RVSN” and “RVSNW,” respectively (see Note 14D below).</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activities are subject to significant risks and uncertainties,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from, among other things, competition associated with the industry in general, other risks associated with financing, liquidity requirements, rapidly changing customer requirements, the loss of key personnel and the effect of planned expansion of operations on the future results of the Company.</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detailed in Note 14D below, on April 4, 2022, the Company completed an initial public offering (“IPO”) on Nasdaq. Gross proceeds for the offering were approximately $15.6 million, and approximately $14.2 million after deducting underwriting discounts and commissions and estimated offering expenses. As of May 12, 2022, the Company’s cash and cash equivalents were approximately $14.3 million.</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expects that its cash and cash equivalents will be sufficient for more than one year from the date that the financial statements are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United Sates of America (“US GAAP”).</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Company’s management believes that the estimates, judgments and assumptions used are reasonable based upon information available at the time they are made. These estimates, judgments and assumptions can affect reported amounts and disclosures made. Actual results could differ from those estimates.</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bonus shares: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13, 2022, the Company effected a bonus shares issuances under Israeli law to reflect the effect of 44-for-1 forward share split of the Company’s ordinary shares. Accordingly, (i) for each one share of outstanding ordinary shares, 43 additional ordinary shares were issued and distributed to the holder thereof; (ii) the number of shares of ordinary shares issuable upon the exercise of each outstanding convertible preferred shares, warrant and option was proportionately increased by 43 additional ordinary shares; (iii) the exercise price of each outstanding option to purchase ordinary shares was proportionately adjusted; (iv) the authorized number of ordinary shares was increased in order to reflect such issuance of bonus shares; and (v) the par value of ordinary shares was not adjusted as result of this issuance of bonus shares. All the share numbers, share prices, and exercise prices have been adjusted retroactively within these financial statements to reflect the issuance of the bonus shares.</w:t>
      </w:r>
    </w:p>
    <w:p>
      <w:pPr>
        <w:spacing w:after="0" w:line="18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in U.S. dollars:</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the U.S. dollar (“dollar” or “$”) since the dollar is the currency of the primary economic environment in which the Company has operated and expects to continue to operate in the foreseeable future.</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rFonts w:ascii="Times New Roman" w:cs="Times New Roman" w:eastAsia="Times New Roman" w:hAnsi="Times New Roman"/>
          <w:sz w:val="18"/>
          <w:szCs w:val="18"/>
          <w:b w:val="1"/>
          <w:bCs w:val="1"/>
          <w:color w:val="auto"/>
        </w:rPr>
      </w:pPr>
    </w:p>
    <w:p>
      <w:pPr>
        <w:jc w:val="both"/>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are short-term highly liquid investments that are readily convertible to cash with maturities of three months or less as of the date acquired and that are readily convertible to known amounts of cash and subject to an insignificant risk. Restricted cash consists of deposits pledged to a bank that provided guarantee in connection with an operating 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cash and cash equivalents, restricted cash, trade accounts receivable, trade accounts payable, accrued expenses and employees and related expenses, which are recorded in other accounts payable, approximate their fair value due to the short-term maturity of these instruments.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“Fair Value Measurements and Disclosures,”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are stated at cost, less accumulated depreciation. Depreciation is calculated by the straight-line method over the estimated useful lives of the assets. The annual depreciation rates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00" w:type="dxa"/>
            <w:vAlign w:val="bottom"/>
            <w:tcBorders>
              <w:bottom w:val="single" w:sz="8" w:color="CCEEFF"/>
            </w:tcBorders>
          </w:tcPr>
          <w:p>
            <w:pPr>
              <w:spacing w:after="0"/>
              <w:rPr>
                <w:sz w:val="20"/>
                <w:szCs w:val="20"/>
                <w:color w:val="auto"/>
              </w:rPr>
            </w:pPr>
          </w:p>
        </w:tc>
        <w:tc>
          <w:tcPr>
            <w:tcW w:w="324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electronic equipment</w:t>
            </w:r>
          </w:p>
        </w:tc>
        <w:tc>
          <w:tcPr>
            <w:tcW w:w="3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r>
      <w:tr>
        <w:trPr>
          <w:trHeight w:val="198"/>
        </w:trPr>
        <w:tc>
          <w:tcPr>
            <w:tcW w:w="7900" w:type="dxa"/>
            <w:vAlign w:val="bottom"/>
          </w:tcPr>
          <w:p>
            <w:pPr>
              <w:spacing w:after="0"/>
              <w:rPr>
                <w:sz w:val="17"/>
                <w:szCs w:val="17"/>
                <w:color w:val="auto"/>
              </w:rPr>
            </w:pPr>
          </w:p>
        </w:tc>
        <w:tc>
          <w:tcPr>
            <w:tcW w:w="33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Over the shorter of the lease term</w:t>
            </w:r>
          </w:p>
        </w:tc>
      </w:t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(including the option) or useful life</w:t>
            </w:r>
          </w:p>
        </w:tc>
      </w:tr>
    </w:tbl>
    <w:p>
      <w:pPr>
        <w:spacing w:after="0" w:line="194"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their fair value. During 2021 and 2020, no impairment losses were recognized.</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post-employment benefit: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Israeli employment laws, employees of the Company are covered under Section 14 of the Severance Compensation Act, 1963 (“Section 14”) for a portion of their salaries. According to Section 14, these employees are entitled to receive monthly deposits (payments) made by the Company on their behalf with insurance companies.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in accordance with Section 14 release the Company from any future severance payments (under the Israeli Severance Compensation Act, 1963) with respect of those employees. The obligation to make the monthly deposits is expensed as incurred. In addition, the aforementioned deposits are not recorded as an asset in the Company’s balance sheet, and there is no liability recorded as the Company does not have a future obligation to make any additional payments.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606 “Revenue from contracts with customers” (“ASC 606”). Under ASC 606, revenue is measured as the amount of consideration the Company expects to be entitled to, in exchange for transferring products or providing services to its customers and is recognized when or as performance obligations under the terms of contracts with the Company’s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The Company then allocates the transaction price (the amount of consideration the Company expects to be entitled to from a customer in exchange for the promised goods or services) to each performance obligation and recognizes the associated revenue when (or as) each performance obligation is satisfied.</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satisfies performance obligations either over time or at a point in time depending on the nature of the underlying promise. Revenue is recognized at the time the related performance obligation is satisfied by transferring a promised good or service to a customer. In certain contracts that include customer substantive acceptance criteria, revenue is not recognized until we can objectively conclude that the product or service meets the agreed-upon specifications in the contract.</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revenue represents amounts received by the Company for which the related revenues have not been recognized because one or more of the revenue recognition criteria have not been met.</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portion of deferred revenue represents the amount to be recognized within one year from the balance sheet date based on the estimated performance period of the underlying performance obligation. As of December 31, 2021 and 2020, the Company’s deferred revenue balance is $87 and $634, respectively, see Note 5 below.</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granted to employees, directors and non-employees including share options granted under the Company’s incentive share option plan based on estimated fair values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718-10 requires companies to estimate the fair value of share-based payment awards on the date of grant. The portion of the grant-date fair value of the share-based payment award that is ultimately expected to vest is recognized as an expense over the requisite service periods in the Company’s statements of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(Cont.)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estimates the fair value of share options granted as share-based payment awards using a Black-Scholes option pricing model. The Black-Scholes option pricing model requires a number of assumptions, of which the most significant are share price, expected volatility and the expected option term (the time from the grant date until the options are exercised or expire). Expected volatility is estimated based on volatility of similar companies in the technology sector. The expected option term is calculated for options granted to employees and directors using the “simplified” method, and grants to non-employees are based on the contractual term. The Company has historically not paid dividends and has no foreseeable plans to pay dividends. The risk-free interest rate is based on the yield from Israel Treasury zero-coupon bonds with an equivalent term. Changes in the determination of each of the inputs can affect the fair value of the share options granted and the results of operations of the Company.</w:t>
      </w:r>
    </w:p>
    <w:p>
      <w:pPr>
        <w:spacing w:after="0" w:line="18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2019, the Company early adopted ASU 2016-02, Leases (Topic 842) (“ASU 2016-02”) using the modified retrospective approach for all lease arrangements as of such date. The Company leases office space and vehicles under operating leases.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 of use (“ROU”) assets and operating lease liabilities in the Company’s balance sheets. ROU assets represent the Company’s right to use an underlying asset for the lease term and lease liabilities represent the Company’s obligation to make lease payments arising from the lease. Operating lease ROU assets and liabilities were recognized based on the present value of the remaining lease payments over the lease term. Because rate implicit in the Company’s leases are not readily determinable, the Company’s incremental borrowing rate is used in determining the present value of lease payments. The operating lease ROU asset excludes lease incentives. The expected lease terms include options to extend or terminate the lease when it is reasonably certain that such options will be exercised. Operating lease expense for is recognized on a straight-line basis over the lease term, variable payments are expensed in the periods incurred.</w:t>
      </w:r>
    </w:p>
    <w:p>
      <w:pPr>
        <w:spacing w:after="0" w:line="19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made an accounting policy election not to recognize ROU assets and lease liabilities that arise from leases with initial terms of 12 months or less. Instead, the Company continue to record such lease expenses on a straight-line basis over the lease term in the statements of comprehensive loss.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 net:</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net, are charged to the statements of comprehensive loss as incurred.</w:t>
      </w:r>
    </w:p>
    <w:p>
      <w:pPr>
        <w:spacing w:after="0" w:line="2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ordinary share: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ordinary share is computed by dividing the net loss by the weighted average number of ordinary shares outstanding during the year. Diluted loss per share is computed by dividing the net loss by the weighted average number of ordinary shares outstanding plus the number of additional ordinary shares that would have been outstanding if all potentially dilutive ordinary shares had been issued, using the treasury stock method. Potentially dilutive ordinary shares were excluded from the diluted loss per share calculation because they were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guidance will be effective for the Company beginning January 1, 2022, and interim periods in fiscal years beginning January 1, 2023. Early adoption is permitted. The Company does not expect ASU 2019-12 to have a material effect on the Company’s current balance sheet, statement of comprehensive income or financial statement disclosures.</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in which requires annual disclosures that increase the transparency of transactions involving government grants, including: (1) the types of transactions, (2) the accounting for those transactions, and (3) the effect of those transactions on an entity’s financial statements. The amendments in this update are effective for financial statements issued for annual periods beginning after December 15, 2021. The adoption of this guidance does not have a material impact on the Company’s financial results of operations, financial position or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at the Chamber of Commerce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FIXED ASSETS,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0" w:type="dxa"/>
            <w:vAlign w:val="bottom"/>
            <w:tcBorders>
              <w:top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2021, and 2020 were $142 and $190,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ACCOUNTS PAYABLE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related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 (*)</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also Notes 6D, 6E and 6H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LIABILITIES</w:t>
      </w:r>
    </w:p>
    <w:p>
      <w:pPr>
        <w:spacing w:after="0" w:line="225"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 with Israel Railways Ltd. (“Israel Railways”):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2016, the Company and Israel Railways entered into an agreement for cooperation between the parties, which was further amended on January 19, 2020, and on July 1, 2021 (the “Railway Agreement”). Under the Railway Agreement, the Company undertook to fulfill certain functions for the development, marketing, distribution and sale of the systems, and Israel Railways undertook to provide the Company with services and the means to perform tests and experiments, mainly in the form of logistics and manpower, and to provide the Company with information on certain data that will be provided at the discretion of Israel Railways.</w:t>
      </w:r>
    </w:p>
    <w:p>
      <w:pPr>
        <w:spacing w:after="0" w:line="18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Railway Agreement, the Company agreed to pay Israel Railways the following:</w:t>
      </w:r>
    </w:p>
    <w:p>
      <w:pPr>
        <w:spacing w:after="0" w:line="225" w:lineRule="exact"/>
        <w:rPr>
          <w:rFonts w:ascii="Times New Roman" w:cs="Times New Roman" w:eastAsia="Times New Roman" w:hAnsi="Times New Roman"/>
          <w:sz w:val="18"/>
          <w:szCs w:val="18"/>
          <w:b w:val="1"/>
          <w:bCs w:val="1"/>
          <w:color w:val="auto"/>
        </w:rPr>
      </w:pPr>
    </w:p>
    <w:p>
      <w:pPr>
        <w:jc w:val="both"/>
        <w:ind w:left="130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August 3, 2016 until the earliest of (a) a period of 5 years from the date of the first commercial sale or (b) the date of an IPO or (c) a change of control (as defined in the Railway Agreement), royalties in the amount of 2.75% of the Company’s net sales.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August 3, 2016 until the earliest of: (a) the date of an IPO, (b) a change of control (as defined in the Railways Agreement), a total of 1.5% of the total proceeds from an IPO or consideration, received by the Company or its shareholders, as a result of change of control (as defined in the Railway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2021, and 2020, the Company has no liability in respect of such royalties.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Regarding completion of IPO subsequent to December 31, 2021, see Note 14C.</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Railway Agreement further provides that Israel Railways will be entitled to purchase the Company’s products and services at a price equal to half the lowest price charged by the Company for those products and services to an unrelated third party.</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 addition, as part of the Railway Agreement and in consideration for services provided to the Company by Israel Railways, the Company granted Israel Railways an option to purchase 195,448 of the Company’s ordinary shares at their par value (see also Note 8D(1)).</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Railway Agreement may be terminated by either party, with 60 days’ prior written notice. Also, in the event of a change of control in the Company, Israel Railways may terminate the Railway Agreement with 30 days’ prior written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LIABILITIES (Cont.)</w:t>
      </w:r>
    </w:p>
    <w:p>
      <w:pPr>
        <w:spacing w:after="0" w:line="225"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Understanding with Israel Railways</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12, 2021, the Company signed a non-binding Memorandum of Understanding (“MOU”) with Israel Railways which summarizes the general terms and conditions to be included in a detailed commercial agreement between the parties.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MOU, the Company and Israel Railways will conduct negotiations in good faith, with a view to entering into the commercial agreement as soon as possible before May 31, 2022. During the negotiations, Israel Railways has started conducting technical tests and analysis of the Company’s Main Line system on a locomotive of Israel Railways.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MOU, the parties intend, subject, inter alia, to meeting the success criteria set by the parties (including obtaining approvals from the Ministry of Transportation and the locomotive manufacturers where the Main Line system will be installed), that Israel Railways will purchase between 6 to 10 of the Company’s Main Line systems within one year of signing the MOU (and additional Main Line systems if necessary).</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Agreement with a Consultant:</w:t>
      </w:r>
    </w:p>
    <w:p>
      <w:pPr>
        <w:spacing w:after="0" w:line="229" w:lineRule="exact"/>
        <w:rPr>
          <w:rFonts w:ascii="Times New Roman" w:cs="Times New Roman" w:eastAsia="Times New Roman" w:hAnsi="Times New Roman"/>
          <w:sz w:val="18"/>
          <w:szCs w:val="18"/>
          <w:b w:val="1"/>
          <w:bCs w:val="1"/>
          <w:color w:val="auto"/>
        </w:rPr>
      </w:pPr>
    </w:p>
    <w:p>
      <w:pPr>
        <w:jc w:val="both"/>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Company entered into a service agreement with a consultant (the “Consultant”) according to which the Consultant will lead, control and consult with the Company’s management in its negotiations with Israel Railways relating the Homologation Process (as defined below) and the commercial sales of any of the Company’s systems to Israel Railways.</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“Homologation Process” shall include defining and receiving all the required written licenses, consents and approvals, both in Israel and abroad, for installing the Company’s systems on Israel Railways locomotives for operational use.</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written consent from the authorized representatives of Israel Railways to enter into a Homologation Process with the Company and, subject to its successful completion, to enter into negotiations regarding the purchase of the Company’s systems by Israel Railways (the “Triggering Event”) was received by the Company, then:</w:t>
      </w:r>
    </w:p>
    <w:p>
      <w:pPr>
        <w:spacing w:after="0" w:line="175" w:lineRule="exact"/>
        <w:rPr>
          <w:rFonts w:ascii="Times New Roman" w:cs="Times New Roman" w:eastAsia="Times New Roman" w:hAnsi="Times New Roman"/>
          <w:sz w:val="18"/>
          <w:szCs w:val="18"/>
          <w:b w:val="1"/>
          <w:bCs w:val="1"/>
          <w:color w:val="auto"/>
        </w:rPr>
      </w:pPr>
    </w:p>
    <w:p>
      <w:pPr>
        <w:ind w:left="1620" w:right="20" w:hanging="316"/>
        <w:spacing w:after="0" w:line="282"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satisfactory completion of the Homologation Process no later than 12 months as of the Triggering Event, the Company shall pay the Consultant a onetime bonus payment of NIS 150,000, plus VAT (approximately $47).</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satisfactory completion of commercial sales of the Company’s systems, no later than 18 months as of the Triggering Event, the Company shall pay the Consultant a onetime bonus payment of NIS 350,000, plus VAT (approximately $109).</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addition, the signing of the MOU mentioned in Note 6B above constitutes the occurrence of the Triggering Event as defined above, and, accordingly, on December 20, 2021, the Company granted options to the Consultant for the purchase of 25,080 of the Company’s ordinary shares at an exercise price of $6.1393 per share. The Consultant will be eligible to exercise the options upon completion of both the Homologation Process and the sale process for a period of 24 months from the date of their grant.</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return for his services, in addition to the onetime bonus payment, the Company agreed to pay the Consultant a monthly remuneration in the amount of approximately $3, plus VAT.</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service agreement is in effect from November 1, 2020, until the completion of the services determined in the agreement, as detailed above. Either party may terminate the agreement with 30 days’ notice. On July 29, 2021, the Company sent a termination notice to the Consultant and accordingly the service agreement was terminated on August 29,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LIABILITIES (Cont.)</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Understanding between the Company and Knorr-Bremse:</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17, 2020, a non-binding Memorandum of Understanding was signed between the Company and Knorr-Bremse (the “Memorandum of Understanding”) regarding cooperation between the parties with respect to Light Rail Vehicle (“LRV”) systems.</w:t>
      </w:r>
    </w:p>
    <w:p>
      <w:pPr>
        <w:spacing w:after="0" w:line="161" w:lineRule="exact"/>
        <w:rPr>
          <w:rFonts w:ascii="Times New Roman" w:cs="Times New Roman" w:eastAsia="Times New Roman" w:hAnsi="Times New Roman"/>
          <w:sz w:val="18"/>
          <w:szCs w:val="18"/>
          <w:b w:val="1"/>
          <w:bCs w:val="1"/>
          <w:color w:val="auto"/>
        </w:rPr>
      </w:pPr>
    </w:p>
    <w:p>
      <w:pPr>
        <w:jc w:val="both"/>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Memorandum of Understanding, the Company undertook to make further adjustments and/or development to its LRV system, if required by Knorr-Bremse and agreed by the Company. Knorr-Bremse undertook to indemnify the Company for any costs of such adjustments and developments, subject to prior approval by Knorr-Bremse.</w:t>
      </w:r>
    </w:p>
    <w:p>
      <w:pPr>
        <w:spacing w:after="0" w:line="175"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Memorandum of Understanding, it was agreed that the parties will negotiate a detailed cooperation agreement in good faith, in which they will determine, among other things, the terms of sale of the LRV system by the Company to Knorr-Bremse.</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Memorandum of Understanding has expired in September 2021. Following the signing of the Memorandum of Understanding, in December 2020, Knorr-Bremse placed a purchase order to the Company for the development and sale of two prototypes of the LRV system according to specifications required by Knorr-Bremse (the “Purchase Order””). In return for the development and sale of the two prototypes, Knorr-Bremse will pay the Company a total of approximately EUR 397 thousand (approximately $471). During December 2020, Knorr-Bremse paid to the Company in advance according to the terms of the Purchase Order, EUR 320 thousand (approximately $384). As of December 31, 2020, the advance payment received were recorded as deferred revenues in other accounts payable (see Note 5).</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 Company completed its commitment according to the Purchase Order for the development and sale of the two prototypes of the LRV system to Knorr-Bremse. Accordingly, the Company recognized revenues in 2021 from the development and sale of the two prototypes of LRV system in a total amount of approximately $471. As of December 31, 2021, a balance of EUR 77 thousand (approximately $87) was included in Trade accounts receivable in respect of this project, which was paid by Knorr-Bremse on January 6, 2022.</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Framework agreement with Knorr-Bremse Rail Systems Schweiz AG (“KBCH”):</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Company entered into a framework agreement (the “Framework Agreement”) with KBCH (a subsidiary of Knorr-Bremse operating in Switzerland) regarding the supply of a prototype of the Company’s shunting yard system to Schweizerische Bundes BahnenCargo (“SBBC”), a freight train company in Switzerland.</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Framework Agreement, the Company will sell to KBCH one prototype of the shunting yard system which will be installed on a shunting locomotive in the SBBC shunting yard, for the purpose of examining the operational performance of the prototype of the shunting yard system (the “Operational Function Test”). The Company undertook to include in the prototype certain features as required by SBBC and to be responsible for proper functioning of the prototype for a period of one year following its installation.</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prototype was delivered by the Company in October 2020 and installed on a shunting locomotive in the SBBC shunting yard. According to the Framework Agreement, at the end of three months from the beginning of the Operational Function Test, which has begun in the second quarter of 2021, and after receiving appropriate regulatory approvals, representatives of the three parties will meet to evaluate test results and performance of the prototype.</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consideration for the prototype delivered for the Operational Function Test, KBCH paid the Company the amount of approximately EUR 244 thousand (approximately $292). In addition, in order to support the Operational Function Test, the Company undertook to provide various professionals, as needed, in exchange for payment at the maximum rates and amounts determined in the Framework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LIABILITIES (Cont.)</w:t>
      </w:r>
    </w:p>
    <w:p>
      <w:pPr>
        <w:spacing w:after="0" w:line="225"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Framework agreement with Knorr-Bremse Rail Systems Schweiz AG (“KBCH”): (Cont.)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Framework Agreement determines a division between the Company and KBCH regarding additional support actions for SBBC, as needed, in the Operational Function Test procedure.</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2020, the payment received from KBCH has not yet been recognized in the Company’s statements of comprehensive loss and were recorded as deferred revenues in other accounts payable (less specific costs attributed to the above project) in the amount of approximately $218 thousand.</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sale of the prototype of shunting yard system and the provision of the services described above were identified by the Company as a single performance obligation, during 2021, the Company recognized revenues from the sale of the prototype and the related services in the total amount of approximately $417.</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partnership agreement between the Company and Knnor-Bremse</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19, 2021, the Company entered into a strategic partnership agreement which summarizes the understandings for strategic cooperation between the parties.</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was approved by the Company’s Board of Directors on August 25, 2021 and by the Company’s shareholders in a general meeting held on August 26, 2021.</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for supplying equipment and services with Hitachi Rail STS Australian Pty Ltd. (“STS”)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2021, the Company entered into an agreement to supply equipment, personnel and services to STS, which enables STS, as the main supplier, to supply to an Australian railway company, Rio Tinto Railway Network, a prototype of the Company’s Main Line system, for demonstrations and examining the operational activity of the Main Line system (the “Long-Term Pilot”) for a total consideration of approximately $265 and an option for additional payments of up to $133, subject to ordering additional services during the term of the agreement. In May 2022, the Long-Term Pilot has been started for a period of at least 3 months.</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 above transaction price has not yet been recognized in the Company’s statements of comprehensive loss. In addition, the Company recorded an amount of approximately $145 as deferred expenses. Subsequent to December 31, 2021, STS paid the Company a first payment of approximately $91.</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2021, the Company received a Purchase Order (“PO”) from a customer in the US (the “Customer”) for a Proof of Concept (“POC”) of a new module regarding a detection system which will focus on railway infrastructure inspection. This new module will be based on the Company’s sensors and algorithmic capabilities, utilizing cloud computing to handle data collections and measurements. On October 2021, the Customer paid the Company a total amount of $88 as an advance payment according to the PO. As of December 31, 2021, the advance payment received has not yet been recognized in the Company's statements of comprehensive loss and were recorded as of December 31, 2021, as deferred revenues in other accounts payable. Subsequent to December 31, 2021, the Company completed the POC and received an additional amount of approximately $131 from the Customer.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PREFERRED SHARES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Issuance of Preferred A Shares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October 13, 2020, the Company and Knorr-Bremse entered into an investment agreement under which the Company issued 51,282 Preferred A shares to Knorr-Bremse, in exchange for a total investment of $10,000. The Company received $5,000 (gross) on October 13, 2020 and $5,000 (gross) on April 13, 2021. As of December 31, 2020 and 2021 the net proceeds, after deducting closing costs and fees, amounted to $4,965 and $9,965, respectively.</w:t>
      </w:r>
    </w:p>
    <w:p>
      <w:pPr>
        <w:spacing w:after="0" w:line="180"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addition, the Company was given, under the investment agreement, an option to demand Knorr-Bremse to invest an additional amount of $ 5,000 at the same price per share (the “Call Option”), provided the existence of circumstances as detailed in the investment agreement. The Call Option was accounted as a derivative and valued at zero. On December 2, 2021, the Company and Knorr-Bremse signed an amendment to the investment agreement, regarding the expiration date of the Call Option, which was extended from December 31, 2021 to March 31, 2022. See also Note 14B.</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Preferred A shares are entitled to all the rights of the Company’s ordinary shares and additional rights as follows:</w:t>
      </w:r>
    </w:p>
    <w:p>
      <w:pPr>
        <w:spacing w:after="0" w:line="221" w:lineRule="exact"/>
        <w:rPr>
          <w:sz w:val="20"/>
          <w:szCs w:val="20"/>
          <w:color w:val="auto"/>
        </w:rPr>
      </w:pPr>
    </w:p>
    <w:p>
      <w:pPr>
        <w:jc w:val="both"/>
        <w:ind w:left="1300" w:hanging="320"/>
        <w:spacing w:after="0" w:line="257" w:lineRule="auto"/>
        <w:tabs>
          <w:tab w:leader="none" w:pos="13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Liquidation preference: </w:t>
      </w:r>
      <w:r>
        <w:rPr>
          <w:rFonts w:ascii="Times New Roman" w:cs="Times New Roman" w:eastAsia="Times New Roman" w:hAnsi="Times New Roman"/>
          <w:sz w:val="18"/>
          <w:szCs w:val="18"/>
          <w:color w:val="auto"/>
        </w:rPr>
        <w:t>Holders of Preferred A shares are entitled to priority, in respect of their Preferred A shares, in the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proceeds of a liquidation or deemed liquidation event over the Company’s ordinary shareholders. The priority of Preferred A shareholders is in the amount of the return on their investment (the “Priority Amount”). The priority in the distribution to holders of Preferred A shares is on a non-participating liquidation preference basis, such that holders of Preferred A shares receive the priority amount in distribution or the amount of in the distribution on a pro rata basis (an ordinary distribution without priority in the distribution), whichever is higher.</w:t>
      </w:r>
    </w:p>
    <w:p>
      <w:pPr>
        <w:spacing w:after="0" w:line="182" w:lineRule="exact"/>
        <w:rPr>
          <w:rFonts w:ascii="Times New Roman" w:cs="Times New Roman" w:eastAsia="Times New Roman" w:hAnsi="Times New Roman"/>
          <w:sz w:val="18"/>
          <w:szCs w:val="18"/>
          <w:b w:val="1"/>
          <w:bCs w:val="1"/>
          <w:color w:val="auto"/>
        </w:rPr>
      </w:pPr>
    </w:p>
    <w:p>
      <w:pPr>
        <w:jc w:val="both"/>
        <w:ind w:left="1300" w:hanging="320"/>
        <w:spacing w:after="0" w:line="268" w:lineRule="auto"/>
        <w:tabs>
          <w:tab w:leader="none" w:pos="13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Listing rights: </w:t>
      </w:r>
      <w:r>
        <w:rPr>
          <w:rFonts w:ascii="Times New Roman" w:cs="Times New Roman" w:eastAsia="Times New Roman" w:hAnsi="Times New Roman"/>
          <w:sz w:val="18"/>
          <w:szCs w:val="18"/>
          <w:color w:val="auto"/>
        </w:rPr>
        <w:t>Holders of Preferred A shares are entitled under a shareholders’ rights agreement to certain listing rights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issue in which not all the Company’s ordinary shares are listed for trading and/or in the case of a combination of a sale offer on the listing date.</w:t>
      </w:r>
    </w:p>
    <w:p>
      <w:pPr>
        <w:spacing w:after="0" w:line="17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Holders of Preferred A shares are entitled, at their option, to convert the Preferred A shares at any time into the Company’s ordinary shares in a 1:44 ratio. In addition, prior to the listing of the Company’s ordinary shares as part of an IPO, all Preferred A shares will be immediately converted into the Company’s ordinary shares in a 1:44 ratio, and, accordingly, all rights stated are revoked upon their conversion into the Company’s ordinary shares.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the Company did not adjust the carrying values of the Preferred A shares to the deemed liquidation values of such shares since a liquidation event was not probable of occurring.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w:t>
      </w:r>
    </w:p>
    <w:p>
      <w:pPr>
        <w:spacing w:after="0" w:line="225"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ordinary shares are as follows: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5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and November 2016, the Company raised gross proceeds of $2,000 (gross) through private placements of its ordinary shares. The Company issued an aggregate of 1,465,992 ordinary shares at a price of $1.36 per share and warrants to purchase 3,135,572 ordinary shares. The warrants consist of: (i) Series A Warrants to purchase 1,465,992 ordinary shares exercisable within 18 months, at an exercise price per share of $4.3, (ii) Series B Warrants to purchase 1,465,992 ordinary shares exercisable within 30 months, at an exercise price per share of $6.14, and (iii) Series C Warrants to purchase 203,588 ordinary shares exercisable within 24 months, at an exercise price per share of $4.91. The net proceeds, after deducting closing costs and fees, amounted to $1,960.</w:t>
      </w:r>
    </w:p>
    <w:p>
      <w:pPr>
        <w:spacing w:after="0" w:line="187"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10, 2018 through May 2, 2018, Series A Warrants were exercised into 990,088 ordinary shares at an exercise price per share of $4.3 for an aggregate of $4,255 (gross), Series A Warrants to purchase 12,848 ordinary shares expired on May 2, 2018 and with respect to the remaining Series A Warrants to purchase 463,056 ordinary shares that were not exercised, the Company agreed with the holder of those warrants to extend the expiration date until August 3, 2018.</w:t>
      </w:r>
    </w:p>
    <w:p>
      <w:pPr>
        <w:spacing w:after="0" w:line="179"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11, 2018, the remaining Series A Warrants to purchase 463,056 ordinary shares for an aggregate of $1,990 (gross) were exercised.</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November 2018, Series C Warrants were exercised into 185,856 ordinary shares at an exercise price per share of $4.91 for an aggregate of $913 (gross) and the remaining Series C Warrants to purchase 17,732 ordinary shares expired on November 2, 2018.</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and October 2017, the Company raised gross proceeds $5,843 through private placements of its ordinary shares. The Company issued an aggregate of 951,676 ordinary shares at a price of $6.14 per share and warrants to purchase 951,676 ordinary shares (consisting of Series D Warrants to purchase 278,916 ordinary shares at an exercise price per share of $6.46 and Series E Warrants to purchase 672,760 ordinary shares at an exercise price per share of $5.81). The warrants were exercisable within 18 months from issuance. The net proceeds, after deducting closing costs and fees, amounted to $5,280. In addition, after deducting the fair value of ordinary shares issued to a finder, which related compensation costs were recorded in equity, the increase of the Company’s equity amounted to approximately $5,192 (see Note 8D(3)).</w:t>
      </w:r>
    </w:p>
    <w:p>
      <w:pPr>
        <w:spacing w:after="0" w:line="188"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 issuance from September and October 2017 and the related warrants are subject to adjustments in the event of the exercise of Series A, B and C Warrants (see Note 7B(3)), in which case an applicable number of ordinary shares will be issued to purchasers of the ordinary shares from September and October 2017 to retroactively adjust their effective purchase price to align with the purchase price at which such new securities are issued and the exercise price of Series D Warrants and Series E Warrants will be reduced accordingly.</w:t>
      </w:r>
    </w:p>
    <w:p>
      <w:pPr>
        <w:spacing w:after="0" w:line="183"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to the Series A and C Warrants exercise (see Note 8B(2)), 97,548 ordinary shares were issued and the exercise price of Series D Warrants and Series E Warrants was adjusted to $6.21 and $5.66,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 (Cont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May 2018, the Company raised gross proceeds of $2,700 (gross) through private placements of its ordinary shares. The Company issued an aggregate of 184,844 ordinary shares at $14.6 per share. The net proceeds, after deducting closing costs and fees, amounted to $2,511.</w:t>
      </w:r>
    </w:p>
    <w:p>
      <w:pPr>
        <w:spacing w:after="0" w:line="17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in February through May 2018 included anti-dilution protection, such that in the event that within a period of 15 months as of the closing date of the share purchase agreement, the Company will issue new securities, or upon an exit event as defined in the share purchase agreement, an applicable number of ordinary shares will be issued to the purchasers of the ordinary shares to retroactively adjust their effective purchase price to equal a 30% discount of the purchase price of such new securities, or the price per share underlying such exit event, as applicable, provided that in no event shall the adjusted price per share exceed the original price per share. In the event an exit event or an issuance of new securities is not consummated during a period of 15 months as of the closing date, an applicable number of ordinary shares will be issued to the purchasers of the ordinary shares to retroactively adjust their effective price per share to $10.43.</w:t>
      </w:r>
    </w:p>
    <w:p>
      <w:pPr>
        <w:spacing w:after="0" w:line="19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transaction detailed in Note 8B(5) below, subsequently triggered the anti-dilution rights detailed above and accordingly an additional 510,752 ordinary shares were issued to the purchasers in February through May 2018.</w:t>
      </w:r>
    </w:p>
    <w:p>
      <w:pPr>
        <w:spacing w:after="0" w:line="132" w:lineRule="exact"/>
        <w:rPr>
          <w:rFonts w:ascii="Times New Roman" w:cs="Times New Roman" w:eastAsia="Times New Roman" w:hAnsi="Times New Roman"/>
          <w:sz w:val="18"/>
          <w:szCs w:val="18"/>
          <w:color w:val="auto"/>
        </w:rPr>
      </w:pPr>
    </w:p>
    <w:p>
      <w:pPr>
        <w:jc w:val="both"/>
        <w:ind w:left="1300" w:hanging="320"/>
        <w:spacing w:after="0" w:line="232" w:lineRule="exact"/>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2019, the Company and Knorr-Bremse Systeme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Schienenfahrzeuge GmbH, an affiliate of Knorr-Bremse AG (“Knorr-Bremse” or “KB”) entered into an agreement whereby KB invested $9,941 (after deducting closing costs and fees) in the Company in consideration of an issuance of an aggregate number of 1,803,296 ordinary shares of the Company at a price per share equal to $5.54.</w:t>
      </w:r>
    </w:p>
    <w:p>
      <w:pPr>
        <w:spacing w:after="0" w:line="199"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agreement, the consideration for the investment was transferred to the Company in two installments: $5,000 at closing and an additional $5,000 in September 2019.</w:t>
      </w:r>
    </w:p>
    <w:p>
      <w:pPr>
        <w:spacing w:after="0" w:line="161"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KB were also issued warrants to purchase up to 655,732 of the Company’s ordinary shares at an exercise price per share of $5.54 (the “KB Warrants”). The KB Warrants shall become exercisable (i) only upon an exercise of warrants of the respective class (i.e. Series B Warrants, Series D Warrants and Series E Warrants, as the case may be), and (ii) only for the number of additional ordinary shares in accordance with the formula of approximately 20% of the number of issued ordinary shares originating from the exercised KB Warrants of the respective class, all as specified in the agreement. As of December 31, 2019, all of the KB Warrants have been exercised (see also Note 8B(6) - (8) below) or expired.</w:t>
      </w:r>
    </w:p>
    <w:p>
      <w:pPr>
        <w:spacing w:after="0" w:line="18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2019, Series D Warrants to purchase 81,884 of the Company’s ordinary shares were exercised for an aggregate of $470 (gross) and Series D Warrants to purchase 214,500 ordinary shares expired on March 19, 2019.</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2019, Series E Warrants to purchase 303,512 of the Company’s ordinary shares were exercised for an aggregate of $1,711 (gross) and Series E Warrants to purchase 434,016 ordinary shares expired on April 6, 2019.</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May 2019, Series B Warrants to purchase 234,608 of the Company’s ordinary shares were exercised for an aggregate of $1,411 (gross) and Series B Warrants to purchase 1,281,456 ordinary shares expired on May 1, 2019.</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 June 2021, an aggregate of options to purchase 471 ordinary shares were exercised by former Company employees resulting in proceeds of $ 127.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Board of Directors (the “Board”) of the Company authorized an incentive share option plan (“2017 Plan”). The 2017 Plan provides for the grant of incentive share options to employees and service providers of the Company. Awards may be granted under the 2017 Plan until January 31, 2027.</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2017 Plan, the aggregate number of ordinary shares that may be issued pursuant to awards will not exceed 2,332,352 ordinary shares.</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and options to service providers: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for the options to service providers was estimated on their grant date determined using a Black-Scholes option pricing model, with the following weighted-average assumptions: weighted average volatility of 70%, risk free interest rates of 1.4%, dividend yields of 0% and a weighted average life of the options of up to 5 years.</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53"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Railway Agreement entered into on August 3, 2016 which was amended on January 19, 2020 and on July 1, 2021, the Company issued options to purchase up to 195,448 ordinary shares of the Company, with an exercise price of NIS 0.01 (approximately $0.003) per share. The options were exercisable on each issuance date and recorded as deferred expenses which are amortized over 5 years beginning August 2016. In respect of such option issuance, amounts of $196, $331 and $305 were recorded in the Company’s statements of comprehensive loss for the years ended December 31, 2021, 2020 and 2019, respectively, included in research and development expenses. On May 30, 2021, Israel Railways informed the Company that the Israel Railways Board of Directors approved the exercise of the options. According to Government Resolution No. 3837, the decision of the Israel Railways Board of Directors requires the approval of the Minister of Finance, the Minister of Transportation, the Budget Director in the Ministry of Finance and the Director of the Government Companies Authority (“Government Approval”). To date, the decision of the Israel Railways Board of Directors has not yet been approved. According to an amendment to the Railway Agreement dated July 1, 2021, the options will expire at the earlier of the following: (1) the passing of five business days following Israel Railways’ receipt of Government Approval; or (2) June 30, 2022. See also Note 6A above.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2018, the Company granted to three consulting service providers options to purchase 98,120 ordinary shares at an exercise price of $6.1393 per share. One third of the options vested upon the first year anniversary and the remainder of the options vested in eight quarterly tranches over a period of two years. For the years ended December 31, 2021, 2020 and 2019, the Company recorded an expense of $1, $99 and $99, respectively, in respect of such grant included in general and administrative expenses.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grant of options to a consultant in connection with the Company’s arrangement with Israel Railways, see Note 6C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to employees</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options was estimated using the Black-Scholes option pricing model, which was based on the following assumptions: weighted average volatility of 70%, risk free interest rates of 0.8%-1.03%, dividend yields of 0% and expected life of the options of up to 6 years.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option activity for options to employees, officers and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3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45"/>
        </w:trPr>
        <w:tc>
          <w:tcPr>
            <w:tcW w:w="132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184"/>
        </w:trPr>
        <w:tc>
          <w:tcPr>
            <w:tcW w:w="1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Outstanding</w:t>
            </w: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period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1,639,792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3.75-6.87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706,728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681,912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5.76-6.0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1,502,248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5.33-7.87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(20,724)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(354,200)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(569,184)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(107,228)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end of</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2"/>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1,264,868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3.75-6.87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1,639,792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4.75-7.87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706,728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4.75-5.0</w:t>
            </w:r>
          </w:p>
        </w:tc>
      </w:tr>
      <w:tr>
        <w:trPr>
          <w:trHeight w:val="157"/>
        </w:trPr>
        <w:tc>
          <w:tcPr>
            <w:tcW w:w="13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Exercisable as</w:t>
            </w: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end of</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2"/>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683,723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3.75-6.87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4.75-7.87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181,984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4.75-5.0</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(3)  Options granted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620" w:hanging="316"/>
        <w:spacing w:after="0" w:line="256"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2018, the Company granted options to purchase 452,496 ordinary shares to its employees and directors at an exercise price of $6.14 per share. These options expire 10 years after their grant date and vest over three years. One third of the options vested upon the first-year anniversary of the grant date and the remainder of the options vested in eight equal quarterly tranches over a period of two years thereafter. For the years ended December 31, 2020 and 2019, the Company recorded an expense of $409 and $469, respectively. For the year ended December 31, 2021, the Company recorded a net reversal of previously recognized expense of $9 due to termination of several employees in respect for such grant.</w:t>
      </w:r>
    </w:p>
    <w:p>
      <w:pPr>
        <w:spacing w:after="0" w:line="187"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2018, the Company granted options to purchase 196,504 ordinary shares to its employees and directors at an exercise price of $6.14 per share. These options expire 10 years after their grant date and vest over three years in nine tranches. One third of the options vested upon the first-year anniversary and the reminder vested in eight equal quarterly tranches over a period of two years thereafter. For the years ended December 31, 2021, 2020 and 2019, the Company recorded an expense of $89, $303 and $368, respectively, in respect for such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to employees (Cont.)</w:t>
      </w:r>
    </w:p>
    <w:p>
      <w:pPr>
        <w:spacing w:after="0" w:line="229" w:lineRule="exact"/>
        <w:rPr>
          <w:rFonts w:ascii="Times New Roman" w:cs="Times New Roman" w:eastAsia="Times New Roman" w:hAnsi="Times New Roman"/>
          <w:sz w:val="18"/>
          <w:szCs w:val="18"/>
          <w:b w:val="1"/>
          <w:bCs w:val="1"/>
          <w:color w:val="auto"/>
        </w:rPr>
      </w:pPr>
    </w:p>
    <w:p>
      <w:pPr>
        <w:jc w:val="both"/>
        <w:ind w:left="1620" w:hanging="316"/>
        <w:spacing w:after="0" w:line="256" w:lineRule="auto"/>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2020, the Company granted options to purchase 671,308 ordinary shares to its employees at an exercise price of $6.14 per share (of which options to purchase 74,580 ordinary shares were to the Company’s former CEO that were forfeited at the end of his employment in December 2020). These options expire 10 years after their grant date and vest over three years in nine tranches. One-third of the options vested on September 18, 2020 and the remainder vest in eight equal quarterly tranches over a period of two years thereafter. For the years ended December 31, 2021 and 2020, the Company recorded an expense of $380 and $812, respectively, in respect for such grant.</w:t>
      </w:r>
    </w:p>
    <w:p>
      <w:pPr>
        <w:spacing w:after="0" w:line="187"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granted options to purchase ordinary shares to its Chairman of the Board, its current CEO (which served as VP Research and Development before his appointment as CEO) and its former CEO as follow:</w:t>
      </w:r>
    </w:p>
    <w:p>
      <w:pPr>
        <w:spacing w:after="0" w:line="161" w:lineRule="exact"/>
        <w:rPr>
          <w:rFonts w:ascii="Times New Roman" w:cs="Times New Roman" w:eastAsia="Times New Roman" w:hAnsi="Times New Roman"/>
          <w:sz w:val="18"/>
          <w:szCs w:val="18"/>
          <w:color w:val="auto"/>
        </w:rPr>
      </w:pPr>
    </w:p>
    <w:p>
      <w:pPr>
        <w:jc w:val="both"/>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Chairman’s options to purchase 556,820 ordinary shares are exercisable at an exercise price of $6.14 per share. The options vest as follows: (1) options to purchase 139,216 ordinary shares vested in one tranche at the end of 12 months from October 13, 2020; and (2) options to purchase 278,388 ordinary shares will vest in the event that the Company generate a cumulative order backlog (as defined in the option agreement) in the amount of not less than $7,000 by the end of 18 months from October 13, 2020; (3) options to purchase 139,216 ordinary shares will vest in the event that the Company reaches a cumulative order backlog of $15,000 by the end of 24 months from October 13, 2020 (including the first cumulative order backlog); and all subject to him serving as the Active Chairman of the Company’s Board of Directors at the time of vesting.</w:t>
      </w:r>
    </w:p>
    <w:p>
      <w:pPr>
        <w:spacing w:after="0" w:line="188"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effectuates an IPO, 25% of the remaining options (i.e. 139,216 options) shall be accelerate and considered fully vested immediately prior to the closing of the IPO.</w:t>
      </w:r>
    </w:p>
    <w:p>
      <w:pPr>
        <w:spacing w:after="0" w:line="161"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CEO options to purchase 61,600 ordinary shares at an exercise price of $6.14 per share vest as follows: (1) options to purchase 30,800 ordinary shares will vest on the condition that the Company generates, no later than October 12, 2022 a cumulative order backlog (as defined in the option agreement) in an amount not less than $10,000; and (2) options to purchase the remaining 30,800 ordinary shares will vest on the condition that the Company generates, no later than October 12, 2024 a cumulative order backlog (as defined above) in an amount not less than $20,000 (including the first cumulative order backlog); and all subject to him serving in his position at the time of vesting.</w:t>
      </w:r>
    </w:p>
    <w:p>
      <w:pPr>
        <w:spacing w:after="0" w:line="187"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former CEO options to purchase 104,720 ordinary shares were forfeited at the end of his employment in December 2020.</w:t>
      </w:r>
    </w:p>
    <w:p>
      <w:pPr>
        <w:spacing w:after="0" w:line="161" w:lineRule="exact"/>
        <w:rPr>
          <w:rFonts w:ascii="Times New Roman" w:cs="Times New Roman" w:eastAsia="Times New Roman" w:hAnsi="Times New Roman"/>
          <w:sz w:val="18"/>
          <w:szCs w:val="18"/>
          <w:color w:val="auto"/>
        </w:rPr>
      </w:pPr>
    </w:p>
    <w:p>
      <w:pPr>
        <w:ind w:left="16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and 2020, the Company recorded an expense of $336 and $211, respectively, in respect for such grants.</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2020, the Company granted options to purchase 107,800 ordinary shares to its employees at an exercise price of $6.14 per share. These options expire 10 years after their grant date and vest over three years in nine tranches. One-third of the options vested on November 3, 2021 and the remainder vest in eight equal quarterly tranches over a period of two years thereafter. For the years ended December 31, 2021 and 2020, the Company recorded an expense of $62 and $14, respectively, in respect for such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Payment Expense:</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share-based payment expense related to options granted to employees and service providers comprised, at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share-based payment expense</w:t>
            </w: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RESEARCH AND DEVELOPMENT, NET</w:t>
            </w: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78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consumables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Subcontracted work and consulting</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expenses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GENERAL AND ADMINISTRATIVE</w:t>
            </w: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78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others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F-23</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TAXES ON INCOME</w:t>
      </w:r>
    </w:p>
    <w:p>
      <w:pPr>
        <w:spacing w:after="0" w:line="229"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income taxes under Israeli tax laws:</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corporate tax rate was 23% in 2021, 2020 and 2019.</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generated net operating losses of approximately $36,504, which may be carried forward and offset against taxable income in the future for an indefinite period.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still in its development stage and has not generated significant revenues. Therefore, it is more likely than not that sufficient taxable income will not be available for the tax losses to be utilized in the future. Therefore, a valuation allowance was recorded to cover the entire balance of the deferred tax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due to carryforward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the Company’s tax expense to the Company’s theoretical statutory tax benefit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tax expense:</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7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(profit) before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(10,032)</w:t>
            </w:r>
          </w:p>
        </w:tc>
      </w:tr>
      <w:tr>
        <w:trPr>
          <w:trHeight w:val="23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Israeli statutory income tax rate</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Theoretical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180" w:right="660" w:hanging="161"/>
        <w:spacing w:after="0" w:line="255" w:lineRule="auto"/>
        <w:rPr>
          <w:sz w:val="20"/>
          <w:szCs w:val="20"/>
          <w:color w:val="auto"/>
        </w:rPr>
      </w:pPr>
      <w:r>
        <w:rPr>
          <w:rFonts w:ascii="Times New Roman" w:cs="Times New Roman" w:eastAsia="Times New Roman" w:hAnsi="Times New Roman"/>
          <w:sz w:val="18"/>
          <w:szCs w:val="18"/>
          <w:color w:val="auto"/>
        </w:rPr>
        <w:t>Losses and other items for which a valuation allowance was provided or benefit from loss carryforwards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0" w:lineRule="exact"/>
        <w:rPr>
          <w:sz w:val="20"/>
          <w:szCs w:val="20"/>
          <w:color w:val="auto"/>
        </w:rPr>
      </w:pPr>
      <w:r>
        <w:rPr>
          <w:sz w:val="20"/>
          <w:szCs w:val="20"/>
          <w:color w:val="auto"/>
        </w:rPr>
        <w:br w:type="column"/>
      </w:r>
    </w:p>
    <w:p>
      <w:pPr>
        <w:ind w:left="60"/>
        <w:spacing w:after="0"/>
        <w:tabs>
          <w:tab w:leader="none" w:pos="1420" w:val="left"/>
          <w:tab w:leader="none" w:pos="2800" w:val="left"/>
        </w:tabs>
        <w:rPr>
          <w:sz w:val="20"/>
          <w:szCs w:val="20"/>
          <w:color w:val="auto"/>
        </w:rPr>
      </w:pPr>
      <w:r>
        <w:rPr>
          <w:rFonts w:ascii="Times New Roman" w:cs="Times New Roman" w:eastAsia="Times New Roman" w:hAnsi="Times New Roman"/>
          <w:sz w:val="18"/>
          <w:szCs w:val="18"/>
          <w:color w:val="auto"/>
        </w:rPr>
        <w:t>2,351</w:t>
      </w:r>
      <w:r>
        <w:rPr>
          <w:sz w:val="20"/>
          <w:szCs w:val="20"/>
          <w:color w:val="auto"/>
        </w:rPr>
        <w:tab/>
      </w:r>
      <w:r>
        <w:rPr>
          <w:rFonts w:ascii="Times New Roman" w:cs="Times New Roman" w:eastAsia="Times New Roman" w:hAnsi="Times New Roman"/>
          <w:sz w:val="18"/>
          <w:szCs w:val="18"/>
          <w:color w:val="auto"/>
        </w:rPr>
        <w:t>2,463</w:t>
      </w:r>
      <w:r>
        <w:rPr>
          <w:sz w:val="20"/>
          <w:szCs w:val="20"/>
          <w:color w:val="auto"/>
        </w:rPr>
        <w:tab/>
      </w:r>
      <w:r>
        <w:rPr>
          <w:rFonts w:ascii="Times New Roman" w:cs="Times New Roman" w:eastAsia="Times New Roman" w:hAnsi="Times New Roman"/>
          <w:sz w:val="17"/>
          <w:szCs w:val="17"/>
          <w:color w:val="auto"/>
        </w:rPr>
        <w:t>2,307</w:t>
      </w:r>
    </w:p>
    <w:p>
      <w:pPr>
        <w:spacing w:after="0" w:line="207" w:lineRule="exact"/>
        <w:rPr>
          <w:sz w:val="20"/>
          <w:szCs w:val="20"/>
          <w:color w:val="auto"/>
        </w:rPr>
      </w:pPr>
    </w:p>
    <w:p>
      <w:pPr>
        <w:spacing w:after="0"/>
        <w:tabs>
          <w:tab w:leader="none" w:pos="1360" w:val="left"/>
          <w:tab w:leader="none" w:pos="2740" w:val="left"/>
        </w:tabs>
        <w:rPr>
          <w:sz w:val="20"/>
          <w:szCs w:val="20"/>
          <w:color w:val="auto"/>
        </w:rPr>
      </w:pPr>
      <w:r>
        <w:rPr>
          <w:rFonts w:ascii="Times New Roman" w:cs="Times New Roman" w:eastAsia="Times New Roman" w:hAnsi="Times New Roman"/>
          <w:sz w:val="18"/>
          <w:szCs w:val="18"/>
          <w:color w:val="auto"/>
        </w:rPr>
        <w:t>(2,351)</w:t>
      </w:r>
      <w:r>
        <w:rPr>
          <w:sz w:val="20"/>
          <w:szCs w:val="20"/>
          <w:color w:val="auto"/>
        </w:rPr>
        <w:tab/>
      </w:r>
      <w:r>
        <w:rPr>
          <w:rFonts w:ascii="Times New Roman" w:cs="Times New Roman" w:eastAsia="Times New Roman" w:hAnsi="Times New Roman"/>
          <w:sz w:val="18"/>
          <w:szCs w:val="18"/>
          <w:color w:val="auto"/>
        </w:rPr>
        <w:t>(2,463)</w:t>
      </w:r>
      <w:r>
        <w:rPr>
          <w:sz w:val="20"/>
          <w:szCs w:val="20"/>
          <w:color w:val="auto"/>
        </w:rPr>
        <w:tab/>
      </w:r>
      <w:r>
        <w:rPr>
          <w:rFonts w:ascii="Times New Roman" w:cs="Times New Roman" w:eastAsia="Times New Roman" w:hAnsi="Times New Roman"/>
          <w:sz w:val="17"/>
          <w:szCs w:val="17"/>
          <w:color w:val="auto"/>
        </w:rPr>
        <w:t>(2,307)</w:t>
      </w:r>
    </w:p>
    <w:p>
      <w:pPr>
        <w:spacing w:after="0" w:line="77" w:lineRule="exact"/>
        <w:rPr>
          <w:sz w:val="20"/>
          <w:szCs w:val="20"/>
          <w:color w:val="auto"/>
        </w:rPr>
      </w:pPr>
    </w:p>
    <w:p>
      <w:pPr>
        <w:ind w:left="340"/>
        <w:spacing w:after="0"/>
        <w:tabs>
          <w:tab w:leader="none" w:pos="1700" w:val="left"/>
          <w:tab w:leader="none" w:pos="3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451735"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245173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873" w:right="339" w:bottom="1440" w:gutter="0" w:footer="0" w:header="0"/>
          <w:type w:val="continuous"/>
        </w:sectPr>
      </w:pPr>
    </w:p>
    <w:p>
      <w:pPr>
        <w:spacing w:after="0" w:line="93" w:lineRule="exact"/>
        <w:rPr>
          <w:sz w:val="20"/>
          <w:szCs w:val="20"/>
          <w:color w:val="auto"/>
        </w:rPr>
      </w:pPr>
    </w:p>
    <w:p>
      <w:pPr>
        <w:ind w:left="1300" w:hanging="320"/>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income tax assessment received by the Company subsequent to the balance sheet date, see Note 14E.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TRANSACTIONS AND BALANCES WITH RELATED PARTIES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Parties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w:t>
      </w:r>
    </w:p>
    <w:p>
      <w:pPr>
        <w:spacing w:after="0" w:line="179" w:lineRule="exact"/>
        <w:rPr>
          <w:sz w:val="20"/>
          <w:szCs w:val="20"/>
          <w:color w:val="auto"/>
        </w:rPr>
      </w:pPr>
    </w:p>
    <w:p>
      <w:pPr>
        <w:ind w:left="1520" w:hanging="500"/>
        <w:spacing w:after="0"/>
        <w:tabs>
          <w:tab w:leader="none" w:pos="15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Related Parties</w:t>
            </w:r>
          </w:p>
        </w:tc>
        <w:tc>
          <w:tcPr>
            <w:tcW w:w="36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payment to former Company CEO (2)</w:t>
            </w:r>
          </w:p>
        </w:tc>
        <w:tc>
          <w:tcPr>
            <w:tcW w:w="2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4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F-24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TRANSACTIONS AND BALANCES WITH RELATED PARTIES (Cont.)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B.</w:t>
            </w:r>
          </w:p>
        </w:tc>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214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14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 (1)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(2)</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expenses to former Company CEO (3)</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6C and 6D above.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6D above.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Company’s former CEO was terminated. According to his employment agreement, the Company paid severance compensation in the amount of $234 in January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April 4, 2021, the Company signed an amendment to the lease of the Company’s offices in Raanana, Israel, according to which, the Company will lease the office space for five years beginning on September 9, 2021 (the date the current lease period ends) until September 8, 2026 (the “Lease Amendment”).</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According to the Lease Amendment, the monthly rent for the Company’s offices will be approximately NIS 79 thousand (approx. $25) in the first two years, NIS 82 thousand (approx. $26) in the third and fourth lease years and NIS 83 thousand (approx. $26) in the fifth year. All the amounts are linked to the Consumer Price Index.</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has an option to extend the lease period for another five years from September 9, 2026, to September 8, 2031 with a monthly rent of between NIS 96 thousand (approx. $30) and NIS 102 thousand (approx. $32) over the additional lease period.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When determining the new lease period as part of the amendment, the Company concluded that it was not reasonably certain that the option to extend will be exercised. At the time of the Lease Amendment, the Company updated its lease liability and right of use asset in a total amount of approximately $458, which reflects the expected lease term until September 8, 2026.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 finance leases.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of lease expenses recorded in the statements of comprehensive loss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6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5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376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68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8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5"/>
          </w:tcPr>
          <w:p>
            <w:pPr>
              <w:ind w:left="1780"/>
              <w:spacing w:after="0"/>
              <w:rPr>
                <w:sz w:val="20"/>
                <w:szCs w:val="20"/>
                <w:color w:val="auto"/>
              </w:rPr>
            </w:pPr>
            <w:r>
              <w:rPr>
                <w:rFonts w:ascii="Times New Roman" w:cs="Times New Roman" w:eastAsia="Times New Roman" w:hAnsi="Times New Roman"/>
                <w:sz w:val="18"/>
                <w:szCs w:val="18"/>
                <w:color w:val="auto"/>
              </w:rPr>
              <w:t>F-25</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LEASES (Cont.)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2021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50"/>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3"/>
        </w:trPr>
        <w:tc>
          <w:tcPr>
            <w:tcW w:w="10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7"/>
        </w:trPr>
        <w:tc>
          <w:tcPr>
            <w:tcW w:w="10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14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The weighted average lease term and weighted average discount rate as of December 31, 2021 was as follows:</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1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5"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 Investment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2022, the Company entered into a Simple Agreement for Future Equity (“SAFE”) with its two main shareholders providing for financing in the aggregate amount of $1,000 (the “Investment Amount”) which was subsequently amended in March 2022.</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 provides for the conversion of the Investment Amount into the Company’s ordinary shares under certain circumstances including in particular in the case of an IPO such that immediately prior to the closing of an IPO the Investment Amount shall automatically convert into such number of shares and warrants issued in the IPO equal to the IPO price. The warrants which shall be issued shall have the same terms as the warrants to be issued in the IPO except such warrants shall be unregistered and shall not be tradeable.</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completion of the IPO on April 4, 2022 (see Note 14D below) the Investment Amount was automatically converted to 242,131 ordinary shares and 242,131 warrants with an exercise price of $4.13 per ordinary share, exercisable and will expire five years from the date of issuance.</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14, 2022, the Company and Knorr-Bremse signed a second amendment to the investment agreement as detailed in Note 7 above according to which, the Company will be entitled to exercise its option in 2 installments as follows: (i) up to $2,000 will be exercisable through March 31, 2022; and (ii) up to $2,286 will be exercisable through June 30, 2022. The aforesaid option shall expire on the closing of the Company’s IPO if such shall occur prior to June 30, 2022.</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6, 2022, the Company exercised its first installment of $2,000 and as a result issued to Knorr-Bremse, a total of 10,256 Preferred A shares at a price of $195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 (Cont.)</w:t>
      </w:r>
    </w:p>
    <w:p>
      <w:pPr>
        <w:spacing w:after="0" w:line="225"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of $15.6 Million Initial Public Offering</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04, 2022, the Company completed its IPO, in which the Company issued 3,787,241 units. Each unit includes 1 ordinary share and 1 warrant to purchase 1 ordinary share at an exercise price of $4.13. The warrants are exercisable at any time up to 5 years after the IPO.</w:t>
      </w:r>
    </w:p>
    <w:p>
      <w:pPr>
        <w:spacing w:after="0" w:line="161" w:lineRule="exact"/>
        <w:rPr>
          <w:rFonts w:ascii="Times New Roman" w:cs="Times New Roman" w:eastAsia="Times New Roman" w:hAnsi="Times New Roman"/>
          <w:sz w:val="18"/>
          <w:szCs w:val="18"/>
          <w:b w:val="1"/>
          <w:bCs w:val="1"/>
          <w:color w:val="auto"/>
        </w:rPr>
      </w:pPr>
    </w:p>
    <w:p>
      <w:pPr>
        <w:jc w:val="both"/>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proceeds for the offering were approximately $15.6 million, before deducting underwriting discounts and commissions and estimated offering expenses and approximately $14.2 million after deducting underwriting discounts and commissions and estimated offering expenses.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granted Aegis Capital Corp, the underwriter (“Aegis”), a 45-day over-allotment option to purchase additional ordinary shares and/or warrants to purchase additional ordinary shares up to 15% of the number of ordinary shares and warrants, respectively, sold in the offering solely to cover over-allotments, if any. On April 4, 2022, Aegis partially exercised its over-allotment option with respect to 568,086 warrants to purchase ordinary shares.</w:t>
      </w:r>
    </w:p>
    <w:p>
      <w:pPr>
        <w:spacing w:after="0" w:line="179" w:lineRule="exact"/>
        <w:rPr>
          <w:rFonts w:ascii="Times New Roman" w:cs="Times New Roman" w:eastAsia="Times New Roman" w:hAnsi="Times New Roman"/>
          <w:sz w:val="18"/>
          <w:szCs w:val="18"/>
          <w:b w:val="1"/>
          <w:bCs w:val="1"/>
          <w:color w:val="auto"/>
        </w:rPr>
      </w:pPr>
    </w:p>
    <w:p>
      <w:pPr>
        <w:ind w:left="980"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ordinary shares and warrants began trading on The Nasdaq Capital Market on March 31, 2022, under the symbols “RVSN” and “RVSNW,” respectively.</w:t>
      </w:r>
    </w:p>
    <w:p>
      <w:pPr>
        <w:spacing w:after="0" w:line="161"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completion of the IPO, 61,538 Preferred A shares were automatically converted into 2,707,672 ordinary shares (after giving effect to the issuance of 10,256 Preferred A shares described in Note 14B above).</w:t>
      </w:r>
    </w:p>
    <w:p>
      <w:pPr>
        <w:spacing w:after="0" w:line="161"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Israeli Railway Agreement as detailed in Note 6 A above, upon the completion of the IPO the Israeli Railway is entitled to a consideration of 1.5% of the actual IPO proceeds, which is approximately $ 213.</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with Executive Officers</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completion of the IPO, the Company paid a one-time IPO bonus to its CEO in the amount of NIS 312,000 (approximately $97) and granted its CEO options to purchase 156,081 ordinary shares, with an exercise price per share equal to the average closing share price on the Nasdaq over the first 30 calendar days following the IPO on April 4, 2022. Such options will vest one-third following 12 months from the completion of the IPO and the balance on quarterly basis during the following 24 months.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completion of the IPO, the Company paid a one-time IPO bonus to its CFO in the amount of NIS 270,000 (approximately $84) and granted its CFO options to purchase 124,865 ordinary shares, with an exercise price per share equal to the average closing share price on the Nasdaq over the first 30 calendar days following the IPO on April 4, 2022. Such options will vest one-third following 12 months from the completion of the IPO and the balance on quarterly basis during the following 24 months.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completion of the IPO, the Company paid its Chairman of the Board a one-time IPO bonus in the amount of $50 (plus VAT) and granted additional options to purchase 266,216 ordinary shares, with an exercise price per share equal to the average closing share price on the Nasdaq over the first 30 calendar days following the IPO on April 4, 2022. Such options will vest one-half following 12 months from the completion of this offering and the balance on quarterly basis during the following 24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descriptions of the securities contained herein summarize the material terms and provisions of the ordinary shares and warrants of Rail Vision Ltd. (the “Company”, “we”, “our” or “us”), registered under Section 12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May 13, 2022, our authorized share capital consisted of 99,900,000 ordinary shares, par value NIS 0.01 per share, of which 15,896,040 ordinary shares were issued and outstanding as of such date, after giving effect to the issuance of 3,787,241 ordinary shares in the initial public offering on April 4, 2022 (the “IPO”). Pursuant to our amended and restated articles of association, our authorized share capital consists of 100,000,000 ordinary shares, par value NIS 0.01 per share. All of our outstanding ordinary shares have been validly issued, fully paid and non-assessable. Our ordinary shares are not redeemable and are not subject to any preemptive rights. All descriptions of our share capital set forth herein give effect to the issuance of bonus shares under Israeli law to all of our shareholders on a basis of 43 bonus shares for each ordinary share outstanding (equivalent to a 44-for-1 share split) simultaneously with the completion of the initial public offering and the customary adjustments to our outstanding options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Attached to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shall confer upon the holders thereof:</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attend and to vote at all of our general meetings, whether regular or special, with each ordinary share entitling the holder thereof, which attend the meeting and participate at the voting, either in person electronically or by a proxy or by a written ballot, to one vote;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participate in distribution of dividends, if any, whether payable in cash or in bonus shares, in distribution of assets or in any other distribution, on a per share pro rata basis;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participate, upon our dissolution, in the distribution of our assets legally available for distribution, on a per share pro rata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2022, our ordinary shares and warrants commenced trading on the Nasdaq Capital Market under the symbols “RVSN,” and “RVSNW,”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Articles of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ordinary shares that are fully paid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shareholders are entitled to appoint a director to our board of directors for each 10% of our outstanding share capital that they own and in such case the appointment will be for an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External directors are elected for an initial term of three years and may be removed from office pursuant to the terms of the Companies Law.</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and Special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we are required to hold an annual general meeting of our shareholders once every calendar year, at such time and place which shall be determined by our board of directors, that must be no later than 15 months after the date of the previous annual general meeting. All meetings other than the annual general meeting of shareholders are referred to as special general meetings. Our board of directors may call special meetings whenever it sees fit and upon the written request of: (a) any two of our directors or such number of directors equal to one quarter of the members of our board of directors; and/or (b) one or more shareholders holding, in the aggregate, either (i) 5% or more of our outstanding voting power or (ii) 5% or more of our outstanding issued shares and 1% of our outstanding voting power.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Resolutions regarding the following matters must be passed at a general meeting of our shareholders:</w:t>
      </w:r>
    </w:p>
    <w:p>
      <w:pPr>
        <w:spacing w:after="0" w:line="22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amended and restated articles of association;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acts and transactions requiring general meeting approval pursuant to the provisions of the Companies Law and any other applicable law;</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Notice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requires that a notice of any annual or special shareholders meeting be provided at least 21 days prior to the meeting, and if the agenda of the meeting includes, among other matters, the appointment or removal of directors, the approval of transactions with office holders or interested or related parties, or an approval of a merger, notice must be provided at least 35 days prior to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permitted under the Companies Law, under our amended and restated articles of association, the quorum required for our general meetings consists of at least two shareholders present in person, by proxy or written ballot, who hold or represent between them at least 25% of the total outstanding voting rights. If within half an hour of the time set forth for the general meeting a quorum is not present, the general meeting shall stand adjourned the same day of the following week, at the same hour and in the same place, or to such other date, time and place as prescribed in the notice to the shareholders and in such adjourned meeting, if no quorum is present within half an hour of the time arranged, any number of shareholders participating in the meeting, shall constitute a quorum.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Resolutions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all resolutions of our shareholders require a simple majority vote, unless otherwise required under the Companies Law or our amended and restated articles of association. A shareholder may vote in a general meeting in person, by proxy or by a written ballot.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Changing Rights Attached to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by the terms of the shares and subject to any applicable law, in order to change the rights attached to any class of shares, such change must be adopted at a general meeting of the affected class or by a written consent of all the shareholders of the affected class.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enlargement of an existing class of shares or the issuance of additional shares thereof, shall not be deemed to modify the rights attached to the previously issued shares of such class or of any other class, unless otherwise provided by the terms of the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 to Own Securities in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on the right to own our securities. In certain circumstances the IPO warrants have restrictions upon the exercise of such warrants if such exercise would result in the holders thereof owning more than 4.99% or 9.99% of our ordinary shares upon such exercise, as further described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Provisions Restricting Change in Control of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specific provisions of our amended and restated articles of association that would have an effect of delaying, deferring or preventing a change in control of the Company or that would operate only with respect to a merger, acquisition or corporate restructuring involving us. However, as described below, certain provisions of the Companies Law may have such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Law includes provisions that allow a merger transaction and requires that each company that is a party to the merger have the transaction approved by its board of directors and, unless certain requirements described under the Companies Law are met, a vote of the majority of shareholders, and, in the case of the target company, also a majority vote of each class of its shares. For purposes of the shareholder vote of each party, unless a court rules otherwise, the merger will not be deemed approved if shares representing a majority of the voting power present at the shareholders meeting and which are not held by the other party to the merger (or by any person or group of persons acting in concert who holds 25% or more of the voting power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requirement that governs all extraordinary transactions with controlling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 In addition, a merger may not be completed unless at least (1) 50 days have passed from the time that the requisite proposals for approval of the merger were filed with the Israeli Registrar of Companies by each merging company and (2) 30 days have passed since the merger was approved by the shareholders of each merging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Law also provides that an acquisition of shares in an Israeli public company must be made by means of a “special” tender offer if as a result of the acquisition (1) the purchaser would become a holder of 25% or more of the voting rights in the company, unless there is already another holder of at least 25% or more of the voting rights in the company or (2) the purchaser would become a holder of more than 45% of the voting rights in the company, unless there is already a holder of more than 45% of the voting rights in the company. These requirements do not apply if, in general, the acquisition (1) was made in a private placement that received shareholders’ approval, subject to certain conditions, (2) was from a holder of 25% or more of the voting rights in the company which resulted in the acquirer becoming a holder of 25% or more of the voting rights in the company, or (3) was from a holder of more than 45% of the voting rights in the company which resulted in the acquirer becoming a holder of more than 45% of the voting rights in the company. A “special” tender offer must be extended to all shareholders. In general, a “special” tender offer may be consummated only if (1) at least 5% of the voting power attached to the company’s outstanding shares will be acquired by the offeror and (2) the offer is accepted by a majority of the offerees who notified the company of their position in connection with such offer (excluding the offeror, controlling shareholders, holders of 25% or more of the voting rights in the company or anyone on their behalf,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as a result of an acquisition of shares, the acquirer will hold more than 90% of an Israeli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by operation of law. However, a tender offer will also be accepted if the shareholders who do not accept the offer hold less than 2% of the issued and outstanding share capital of the company or of the applicable class of shares. Shareholders may request appraisal rights in connection with a full tender offer for a period of six months following the consummation of the tender offer, but the acquirer is entitled to stipulate, under certain conditions, that tendering shareholders will forfeit such appraisal rights.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Lastly, Israeli tax law treats some acquisitions, such as stock-for-stock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stock-for-stock swap.</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enable us to increase or reduce our share capital. Any such changes are subject to the provisions of the Companies Law and must be approved by a resolution duly passed by our shareholders at a general meeting by voting on such change in the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terms and provisions of the 4,355,327 warrants sold in our initial public offering.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are exercisable at any time after their original issuance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ordinary shares underlying the warrants under the Securities Act is effective and available for the issuance of such shares, by payment in full in immediately available funds for the number of ordinary shares purchased upon such exercise. If a registration statement registering the issuance of the ordinary shares underlying the warrants under the Securities Act is not effective or available, the holder may, in its sole discretion, elect to exercise the warrant through a cashless exercise, in which case the holder would receive upon such exercise the net number of ordinary shares determined according to the formula set forth in the Warrant. No fractional shares will be issued in connection with the exercise of a warrant. In lieu of fractional shares, we will pay the holder an amount in cash equal to the fractional amount multiplied by the exercise price.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does not have the right to exercise any portion of the warrant if the holder (together with its affiliates) would beneficially own in excess of 4.99% of the number of ordinary shares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in such percentage shall not be effective until 61 days following notice from the holder to 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per whole ordinary share purchasable upon exercise of the warrants is $4.13 per share, which is 100% of the public offering price of the units sold in the IPO, with each unit consisting of one of the Company’s ordinary shares, and one warrant to purchase one ordinary share. The units have no stand-alone rights and will not be certificated or issued as stand-alone securities. The exercise price of the warrant is subject to appropriate adjustment in the event of certain stock dividends and distributions, stock splits, stock combinations, reclassifications or similar events affecting our ordinary shares and also upon any distributions of assets, including cash, stock or other property to our stockholders.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ind w:firstLine="744"/>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exercised contained in the warrants.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warrants are governed by New York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other securities that are registered under Section 12 of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Shahar Hania, certify that:</w:t>
      </w:r>
    </w:p>
    <w:p>
      <w:pPr>
        <w:spacing w:after="0" w:line="22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Rail Vision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[language omitted in accordance with Exchange Act Rule 13a-14(a)]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Shahar Hania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Ofer Naveh, certify that:</w:t>
      </w:r>
    </w:p>
    <w:p>
      <w:pPr>
        <w:spacing w:after="0" w:line="225"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Rail Vision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[language omitted in accordance with Exchange Act Rule 13a-14(a)]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color w:val="auto"/>
        </w:rPr>
        <w:t>/s/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Ofer Naveh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20-F for the period ended December 31, 2021 (the “Report”) by Rail Vision Ltd. (the “Company”), the undersigned, as the Chief Executive Officer of the Company, hereby certifies pursuant to 18 U.S.C. Section 1350, that, to my knowledge:</w:t>
      </w:r>
    </w:p>
    <w:p>
      <w:pPr>
        <w:spacing w:after="0" w:line="162" w:lineRule="exact"/>
        <w:rPr>
          <w:sz w:val="20"/>
          <w:szCs w:val="20"/>
          <w:color w:val="auto"/>
        </w:rPr>
      </w:pPr>
    </w:p>
    <w:p>
      <w:pPr>
        <w:ind w:left="1140" w:hanging="33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140" w:hanging="336"/>
        <w:spacing w:after="0" w:line="282"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Shahar Hania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20-F for the period ended December 31, 2021 (the “Report”) by Rail Vision Ltd. (the “Company”), the undersigned, as the Chief Financial Officer of the Company, hereby certifies pursuant to 18 U.S.C. Section 1350, that, to my knowledge:</w:t>
      </w:r>
    </w:p>
    <w:p>
      <w:pPr>
        <w:spacing w:after="0" w:line="162" w:lineRule="exact"/>
        <w:rPr>
          <w:sz w:val="20"/>
          <w:szCs w:val="20"/>
          <w:color w:val="auto"/>
        </w:rPr>
      </w:pPr>
    </w:p>
    <w:p>
      <w:pPr>
        <w:ind w:left="1140" w:hanging="336"/>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140" w:hanging="336"/>
        <w:spacing w:after="0" w:line="282"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color w:val="auto"/>
        </w:rPr>
        <w:t>/s/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Ofer Naveh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upperLetter"/>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2"/>
    </w:lvl>
  </w:abstractNum>
  <w:abstractNum w:abstractNumId="23">
    <w:nsid w:val="15B5AF5C"/>
    <w:multiLevelType w:val="hybridMultilevel"/>
    <w:lvl w:ilvl="0">
      <w:lvlJc w:val="left"/>
      <w:lvlText w:val="%1."/>
      <w:numFmt w:val="decimal"/>
      <w:start w:val="3"/>
    </w:lvl>
  </w:abstractNum>
  <w:abstractNum w:abstractNumId="24">
    <w:nsid w:val="741226BB"/>
    <w:multiLevelType w:val="hybridMultilevel"/>
    <w:lvl w:ilvl="0">
      <w:lvlJc w:val="left"/>
      <w:lvlText w:val="%1."/>
      <w:numFmt w:val="decimal"/>
      <w:start w:val="4"/>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3"/>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decimal"/>
      <w:start w:val="3"/>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lowerRoman"/>
      <w:start w:val="3"/>
    </w:lvl>
  </w:abstractNum>
  <w:abstractNum w:abstractNumId="50">
    <w:nsid w:val="1EBA5D23"/>
    <w:multiLevelType w:val="hybridMultilevel"/>
    <w:lvl w:ilvl="0">
      <w:lvlJc w:val="left"/>
      <w:lvlText w:val="(%1)"/>
      <w:numFmt w:val="lowerRoman"/>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lowerRoman"/>
      <w:start w:val="2"/>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10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upperLetter"/>
      <w:start w:val="1"/>
    </w:lvl>
  </w:abstractNum>
  <w:abstractNum w:abstractNumId="64">
    <w:nsid w:val="68EB2F63"/>
    <w:multiLevelType w:val="hybridMultilevel"/>
    <w:lvl w:ilvl="0">
      <w:lvlJc w:val="left"/>
      <w:lvlText w:val="%1."/>
      <w:numFmt w:val="upperLetter"/>
      <w:start w:val="1"/>
    </w:lvl>
  </w:abstractNum>
  <w:abstractNum w:abstractNumId="65">
    <w:nsid w:val="4962813B"/>
    <w:multiLevelType w:val="hybridMultilevel"/>
    <w:lvl w:ilvl="0">
      <w:lvlJc w:val="left"/>
      <w:lvlText w:val="%1."/>
      <w:numFmt w:val="upperLetter"/>
      <w:start w:val="6"/>
    </w:lvl>
  </w:abstractNum>
  <w:abstractNum w:abstractNumId="66">
    <w:nsid w:val="60B6DF70"/>
    <w:multiLevelType w:val="hybridMultilevel"/>
    <w:lvl w:ilvl="0">
      <w:lvlJc w:val="left"/>
      <w:lvlText w:val="%1."/>
      <w:numFmt w:val="upperLetter"/>
      <w:start w:val="8"/>
    </w:lvl>
  </w:abstractNum>
  <w:abstractNum w:abstractNumId="67">
    <w:nsid w:val="6A5EE64"/>
    <w:multiLevelType w:val="hybridMultilevel"/>
    <w:lvl w:ilvl="0">
      <w:lvlJc w:val="left"/>
      <w:lvlText w:val="%1."/>
      <w:numFmt w:val="upperLetter"/>
      <w:start w:val="10"/>
    </w:lvl>
  </w:abstractNum>
  <w:abstractNum w:abstractNumId="68">
    <w:nsid w:val="14330624"/>
    <w:multiLevelType w:val="hybridMultilevel"/>
    <w:lvl w:ilvl="0">
      <w:lvlJc w:val="left"/>
      <w:lvlText w:val="%1."/>
      <w:numFmt w:val="upperLetter"/>
      <w:start w:val="11"/>
    </w:lvl>
  </w:abstractNum>
  <w:abstractNum w:abstractNumId="69">
    <w:nsid w:val="7FFFCA11"/>
    <w:multiLevelType w:val="hybridMultilevel"/>
    <w:lvl w:ilvl="0">
      <w:lvlJc w:val="left"/>
      <w:lvlText w:val="%1."/>
      <w:numFmt w:val="upperLetter"/>
      <w:start w:val="15"/>
    </w:lvl>
  </w:abstractNum>
  <w:abstractNum w:abstractNumId="70">
    <w:nsid w:val="1A27709E"/>
    <w:multiLevelType w:val="hybridMultilevel"/>
    <w:lvl w:ilvl="0">
      <w:lvlJc w:val="left"/>
      <w:lvlText w:val="%1."/>
      <w:numFmt w:val="upperLetter"/>
      <w:start w:val="1"/>
    </w:lvl>
    <w:lvl w:ilvl="1">
      <w:lvlJc w:val="left"/>
      <w:lvlText w:val="-"/>
      <w:numFmt w:val="bullet"/>
      <w:start w:val="1"/>
    </w:lvl>
  </w:abstractNum>
  <w:abstractNum w:abstractNumId="71">
    <w:nsid w:val="71EA1109"/>
    <w:multiLevelType w:val="hybridMultilevel"/>
    <w:lvl w:ilvl="0">
      <w:lvlJc w:val="left"/>
      <w:lvlText w:val="%1."/>
      <w:numFmt w:val="upperLetter"/>
      <w:start w:val="2"/>
    </w:lvl>
    <w:lvl w:ilvl="1">
      <w:lvlJc w:val="left"/>
      <w:lvlText w:val="-"/>
      <w:numFmt w:val="bullet"/>
      <w:start w:val="1"/>
    </w:lvl>
  </w:abstractNum>
  <w:abstractNum w:abstractNumId="72">
    <w:nsid w:val="100F59DC"/>
    <w:multiLevelType w:val="hybridMultilevel"/>
    <w:lvl w:ilvl="0">
      <w:lvlJc w:val="left"/>
      <w:lvlText w:val="%1."/>
      <w:numFmt w:val="upperLetter"/>
      <w:start w:val="4"/>
    </w:lvl>
  </w:abstractNum>
  <w:abstractNum w:abstractNumId="73">
    <w:nsid w:val="7FB7E0AA"/>
    <w:multiLevelType w:val="hybridMultilevel"/>
    <w:lvl w:ilvl="0">
      <w:lvlJc w:val="left"/>
      <w:lvlText w:val="%1."/>
      <w:numFmt w:val="upperLetter"/>
      <w:start w:val="5"/>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upperLetter"/>
      <w:start w:val="1"/>
    </w:lvl>
    <w:lvl w:ilvl="1">
      <w:lvlJc w:val="left"/>
      <w:lvlText w:val="(%2)"/>
      <w:numFmt w:val="decimal"/>
      <w:start w:val="1"/>
    </w:lvl>
  </w:abstractNum>
  <w:abstractNum w:abstractNumId="76">
    <w:nsid w:val="94211F2"/>
    <w:multiLevelType w:val="hybridMultilevel"/>
    <w:lvl w:ilvl="0">
      <w:lvlJc w:val="left"/>
      <w:lvlText w:val="%1."/>
      <w:numFmt w:val="upperLetter"/>
      <w:start w:val="2"/>
    </w:lvl>
    <w:lvl w:ilvl="1">
      <w:lvlJc w:val="left"/>
      <w:lvlText w:val="(%2)"/>
      <w:numFmt w:val="decimal"/>
      <w:start w:val="3"/>
    </w:lvl>
  </w:abstractNum>
  <w:abstractNum w:abstractNumId="77">
    <w:nsid w:val="885E1B"/>
    <w:multiLevelType w:val="hybridMultilevel"/>
    <w:lvl w:ilvl="0">
      <w:lvlJc w:val="left"/>
      <w:lvlText w:val="%1."/>
      <w:numFmt w:val="upperLetter"/>
      <w:start w:val="3"/>
    </w:lvl>
    <w:lvl w:ilvl="1">
      <w:lvlJc w:val="left"/>
      <w:lvlText w:val="(%2)"/>
      <w:numFmt w:val="decimal"/>
      <w:start w:val="1"/>
    </w:lvl>
  </w:abstractNum>
  <w:abstractNum w:abstractNumId="78">
    <w:nsid w:val="76272110"/>
    <w:multiLevelType w:val="hybridMultilevel"/>
    <w:lvl w:ilvl="0">
      <w:lvlJc w:val="left"/>
      <w:lvlText w:val="%1."/>
      <w:numFmt w:val="upperLetter"/>
      <w:start w:val="5"/>
    </w:lvl>
    <w:lvl w:ilvl="1">
      <w:lvlJc w:val="left"/>
      <w:lvlText w:val="(%2)"/>
      <w:numFmt w:val="decimal"/>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upperLetter"/>
      <w:start w:val="5"/>
    </w:lvl>
    <w:lvl w:ilvl="1">
      <w:lvlJc w:val="left"/>
      <w:lvlText w:val="%2)"/>
      <w:numFmt w:val="lowerLetter"/>
      <w:start w:val="3"/>
    </w:lvl>
  </w:abstractNum>
  <w:abstractNum w:abstractNumId="81">
    <w:nsid w:val="14E17E33"/>
    <w:multiLevelType w:val="hybridMultilevel"/>
    <w:lvl w:ilvl="0">
      <w:lvlJc w:val="left"/>
      <w:lvlText w:val="%1."/>
      <w:numFmt w:val="upperLetter"/>
      <w:start w:val="6"/>
    </w:lvl>
  </w:abstractNum>
  <w:abstractNum w:abstractNumId="82">
    <w:nsid w:val="3222E7CD"/>
    <w:multiLevelType w:val="hybridMultilevel"/>
    <w:lvl w:ilvl="0">
      <w:lvlJc w:val="left"/>
      <w:lvlText w:val="%1."/>
      <w:numFmt w:val="upperLetter"/>
      <w:start w:val="1"/>
    </w:lvl>
    <w:lvl w:ilvl="1">
      <w:lvlJc w:val="left"/>
      <w:lvlText w:val="%2."/>
      <w:numFmt w:val="decimal"/>
      <w:start w:val="1"/>
    </w:lvl>
  </w:abstractNum>
  <w:abstractNum w:abstractNumId="83">
    <w:nsid w:val="74DE0EE3"/>
    <w:multiLevelType w:val="hybridMultilevel"/>
    <w:lvl w:ilvl="0">
      <w:lvlJc w:val="left"/>
      <w:lvlText w:val="%1."/>
      <w:numFmt w:val="decimal"/>
      <w:start w:val="4"/>
    </w:lvl>
  </w:abstractNum>
  <w:abstractNum w:abstractNumId="84">
    <w:nsid w:val="68EBC550"/>
    <w:multiLevelType w:val="hybridMultilevel"/>
    <w:lvl w:ilvl="0">
      <w:lvlJc w:val="left"/>
      <w:lvlText w:val="%1."/>
      <w:numFmt w:val="decimal"/>
      <w:start w:val="5"/>
    </w:lvl>
  </w:abstractNum>
  <w:abstractNum w:abstractNumId="85">
    <w:nsid w:val="2DF6D648"/>
    <w:multiLevelType w:val="hybridMultilevel"/>
    <w:lvl w:ilvl="0">
      <w:lvlJc w:val="left"/>
      <w:lvlText w:val="%1."/>
      <w:numFmt w:val="upperLetter"/>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upperLetter"/>
      <w:start w:val="1"/>
    </w:lvl>
  </w:abstractNum>
  <w:abstractNum w:abstractNumId="88">
    <w:nsid w:val="39EE015C"/>
    <w:multiLevelType w:val="hybridMultilevel"/>
    <w:lvl w:ilvl="0">
      <w:lvlJc w:val="left"/>
      <w:lvlText w:val="%1."/>
      <w:numFmt w:val="upperLetter"/>
      <w:start w:val="3"/>
    </w:lvl>
    <w:lvl w:ilvl="1">
      <w:lvlJc w:val="left"/>
      <w:lvlText w:val="(%2)"/>
      <w:numFmt w:val="decimal"/>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jpeg"/><Relationship Id="rId117" Type="http://schemas.openxmlformats.org/officeDocument/2006/relationships/image" Target="media/image97.png"/><Relationship Id="rId118" Type="http://schemas.openxmlformats.org/officeDocument/2006/relationships/image" Target="media/image98.jpe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99" Type="http://schemas.openxmlformats.org/officeDocument/2006/relationships/hyperlink" Target="http://www.sec.gov/Archives/edgar/data/1743905/000121390022014921/ea156933ex1-1_railvision.htm" TargetMode="External"/><Relationship Id="rId100" Type="http://schemas.openxmlformats.org/officeDocument/2006/relationships/hyperlink" Target="http://www.sec.gov/Archives/edgar/data/1743905/000121390022014921/ea156933ex4-3_railvision.htm" TargetMode="External"/><Relationship Id="rId101" Type="http://schemas.openxmlformats.org/officeDocument/2006/relationships/hyperlink" Target="http://www.sec.gov/Archives/edgar/data/1743905/000121390022014921/ea156933ex3-2_railvision.htm" TargetMode="External"/><Relationship Id="rId102" Type="http://schemas.openxmlformats.org/officeDocument/2006/relationships/hyperlink" Target="http://www.sec.gov/Archives/edgar/data/1743905/000121390022014921/ea156933ex4-1_railvision.htm" TargetMode="External"/><Relationship Id="rId103" Type="http://schemas.openxmlformats.org/officeDocument/2006/relationships/hyperlink" Target="http://www.sec.gov/Archives/edgar/data/1743905/000121390022014921/ea156933ex4-2_railvision.htm" TargetMode="External"/><Relationship Id="rId104" Type="http://schemas.openxmlformats.org/officeDocument/2006/relationships/hyperlink" Target="http://www.sec.gov/Archives/edgar/data/1743905/000121390022014921/ea156933ex10-1_railvision.htm" TargetMode="External"/><Relationship Id="rId105" Type="http://schemas.openxmlformats.org/officeDocument/2006/relationships/hyperlink" Target="http://www.sec.gov/Archives/edgar/data/1743905/000121390022014921/ea156933ex10-2_railvision.htm" TargetMode="External"/><Relationship Id="rId106" Type="http://schemas.openxmlformats.org/officeDocument/2006/relationships/hyperlink" Target="http://www.sec.gov/Archives/edgar/data/1743905/000121390022014921/ea156933ex10-3_railvision.htm" TargetMode="External"/><Relationship Id="rId107" Type="http://schemas.openxmlformats.org/officeDocument/2006/relationships/hyperlink" Target="http://www.sec.gov/Archives/edgar/data/1743905/000121390022014921/ea156933ex10-4_railvision.htm" TargetMode="External"/><Relationship Id="rId108" Type="http://schemas.openxmlformats.org/officeDocument/2006/relationships/hyperlink" Target="http://www.sec.gov/Archives/edgar/data/1743905/000121390022011664/ea156426ex10-5_railvision.htm" TargetMode="External"/><Relationship Id="rId109" Type="http://schemas.openxmlformats.org/officeDocument/2006/relationships/hyperlink" Target="http://www.sec.gov/Archives/edgar/data/1743905/000121390022011664/ea156426ex10-6_railvision.htm" TargetMode="External"/><Relationship Id="rId110" Type="http://schemas.openxmlformats.org/officeDocument/2006/relationships/hyperlink" Target="http://www.sec.gov/Archives/edgar/data/1743905/000121390022011664/ea156426ex10-7_railvision.htm" TargetMode="External"/><Relationship Id="rId111" Type="http://schemas.openxmlformats.org/officeDocument/2006/relationships/hyperlink" Target="http://www.sec.gov/Archives/edgar/data/1743905/000121390022011664/ea156426ex10-8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2022-05-16T17:25:17Z</dcterms:created>
  <dcterms:modified xsi:type="dcterms:W3CDTF">2022-05-16T17:25:17Z</dcterms:modified>
</cp:coreProperties>
</file>