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101__20"/>
      <w:bookmarkEnd w:id="2"/>
      <w:r>
        <w:rPr>
          <w:rFonts w:ascii="Times New Roman;Times;Serif" w:hAnsi="Times New Roman;Times;Serif"/>
          <w:b/>
          <w:i w:val="false"/>
          <w:caps w:val="false"/>
          <w:smallCaps w:val="false"/>
          <w:sz w:val="36"/>
        </w:rPr>
        <w:t>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August </w:t>
      </w:r>
      <w:bookmarkStart w:id="3" w:name="xdx_90B_edei--DocumentFiscalYearFocus_c2"/>
      <w:bookmarkEnd w:id="3"/>
      <w:r>
        <w:rPr>
          <w:rFonts w:ascii="Times New Roman;Times;Serif" w:hAnsi="Times New Roman;Times;Serif"/>
          <w:b w:val="false"/>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4" w:name="xdx_900_edei--EntityFileNumber_c20260101"/>
      <w:bookmarkEnd w:id="4"/>
      <w:r>
        <w:rPr>
          <w:rFonts w:ascii="Times New Roman;Times;Serif" w:hAnsi="Times New Roman;Times;Serif"/>
          <w:b w:val="false"/>
          <w:i w:val="false"/>
          <w:caps w:val="false"/>
          <w:smallCaps w:val="false"/>
          <w:sz w:val="20"/>
        </w:rPr>
        <w:t>001-41334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bookmarkStart w:id="5" w:name="xdx_907_edei--EntityRegistrantName_c2026"/>
      <w:bookmarkEnd w:id="5"/>
      <w:r>
        <w:rPr>
          <w:rFonts w:ascii="Times New Roman;Times;Serif" w:hAnsi="Times New Roman;Times;Serif"/>
          <w:b/>
          <w:i w:val="false"/>
          <w:caps w:val="false"/>
          <w:smallCaps w:val="false"/>
          <w:sz w:val="36"/>
          <w:u w:val="single"/>
        </w:rPr>
        <w:t>RAIL VISION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xdx_904_edei--EntityAddressAddressLine1_"/>
      <w:bookmarkEnd w:id="6"/>
      <w:r>
        <w:rPr>
          <w:rFonts w:ascii="Times New Roman;Times;Serif" w:hAnsi="Times New Roman;Times;Serif"/>
          <w:b/>
          <w:i w:val="false"/>
          <w:caps w:val="false"/>
          <w:smallCaps w:val="false"/>
          <w:sz w:val="20"/>
        </w:rPr>
        <w:t>15 Ha’Tidhar St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A_edei--EntityAddressCityOrTown_c2"/>
      <w:bookmarkEnd w:id="7"/>
      <w:r>
        <w:rPr>
          <w:rFonts w:ascii="Times New Roman;Times;Serif" w:hAnsi="Times New Roman;Times;Serif"/>
          <w:b/>
          <w:i w:val="false"/>
          <w:caps w:val="false"/>
          <w:smallCaps w:val="false"/>
          <w:sz w:val="20"/>
        </w:rPr>
        <w:t xml:space="preserve">Ra’anana, </w:t>
      </w:r>
      <w:bookmarkStart w:id="8" w:name="xdx_90C_edei--EntityAddressPostalZipCode"/>
      <w:bookmarkEnd w:id="8"/>
      <w:r>
        <w:rPr>
          <w:rFonts w:ascii="Times New Roman;Times;Serif" w:hAnsi="Times New Roman;Times;Serif"/>
          <w:b/>
          <w:i w:val="false"/>
          <w:caps w:val="false"/>
          <w:smallCaps w:val="false"/>
          <w:sz w:val="20"/>
        </w:rPr>
        <w:t xml:space="preserve">4366517 </w:t>
      </w:r>
      <w:bookmarkStart w:id="9" w:name="xdx_90B_edei--EntityAddressCountry_c2026"/>
      <w:bookmarkEnd w:id="9"/>
      <w:r>
        <w:rPr>
          <w:rFonts w:ascii="Times New Roman;Times;Serif" w:hAnsi="Times New Roman;Times;Serif"/>
          <w:b/>
          <w:i w:val="false"/>
          <w:caps w:val="false"/>
          <w:smallCaps w:val="false"/>
          <w:sz w:val="20"/>
        </w:rPr>
        <w:t>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of Foreign Private Issuer on Form 6-K consists of (i) Rail Vision Ltd.’s (the “Company”) press release issued on August 26, 2026, titled “Rail Vision Delivers Strong Commercial Momentum in First Half of 2026 with Revenue Exceeding $1 Million,” which is attached hereto as Exhibit 99.1; (ii) the Company’s Interim Condensed Financial Statements as of June 30, 2026, which is attached hereto as Exhibit 99.2; and (iii) the Company’s Management’s Discussion and Analysis of Financial Condition and Results of Operations for the six months ended June 30, 2026, which is attached hereto as Exhibit 99.3.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August 26, 2026, the Company posted to its website an updated corporate presentation. A copy of the corporate presentation is being furnished and incorporated herein as Exhibit 99.4.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furnishing of the corporate presentation is not an admission as to the materiality of any information therein. The information contained in the corporate presentation is summary information that is intended to be considered in the context of more complete information included in the Company’s filings with the U.S. Securities and Exchange Commission. and other public announcements that the Company has made and may make from time to time by press release or otherwise. All information contained in the corporate presentation is subject to the disclaimer regarding forward-looking statements at the beginning of the presentation.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first paragraph, the sections titled “First Half 2026 &amp; Recent Highlights,” “Forward-Looking Statements,” “First Half 2026 Financial Results,” the GAAP financial statements and the Reconciliation of GAAP to Non-GAAP Financial Measures table in the press release attached as Exhibit 99.1, Exhibit 99.2, Exhibit 99.3, are incorporated by reference into the Company’s Registration Statements on Form F-3 (File Nos. </w:t>
      </w:r>
      <w:hyperlink r:id="rId2">
        <w:r>
          <w:rPr>
            <w:rStyle w:val="InternetLink"/>
            <w:rFonts w:ascii="Times New Roman;Times;Serif" w:hAnsi="Times New Roman;Times;Serif"/>
            <w:b w:val="false"/>
            <w:i w:val="false"/>
            <w:caps w:val="false"/>
            <w:smallCaps w:val="false"/>
            <w:sz w:val="20"/>
          </w:rPr>
          <w:t>333-271068</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333-272933</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333-277963</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333-278645</w:t>
        </w:r>
      </w:hyperlink>
      <w:r>
        <w:rPr>
          <w:rFonts w:ascii="Times New Roman;Times;Serif" w:hAnsi="Times New Roman;Times;Serif"/>
          <w:b w:val="false"/>
          <w:i w:val="false"/>
          <w:caps w:val="false"/>
          <w:smallCaps w:val="false"/>
          <w:sz w:val="20"/>
        </w:rPr>
        <w:t xml:space="preserve">) and Form S-8 (File Nos. </w:t>
      </w:r>
      <w:hyperlink r:id="rId6">
        <w:r>
          <w:rPr>
            <w:rStyle w:val="InternetLink"/>
            <w:rFonts w:ascii="Times New Roman;Times;Serif" w:hAnsi="Times New Roman;Times;Serif"/>
            <w:b w:val="false"/>
            <w:i w:val="false"/>
            <w:caps w:val="false"/>
            <w:smallCaps w:val="false"/>
            <w:sz w:val="20"/>
          </w:rPr>
          <w:t>333-265968</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333-281329</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333-286652</w:t>
        </w:r>
      </w:hyperlink>
      <w:r>
        <w:rPr>
          <w:rFonts w:ascii="Times New Roman;Times;Serif" w:hAnsi="Times New Roman;Times;Serif"/>
          <w:b w:val="false"/>
          <w:i w:val="false"/>
          <w:caps w:val="false"/>
          <w:smallCaps w:val="false"/>
          <w:sz w:val="20"/>
        </w:rPr>
        <w:t>), to be a part thereof from the date on which this report is submitted, to the extent not superseded by documents or reports subsequently filed or furnished.</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1"/>
        <w:gridCol w:w="60"/>
        <w:gridCol w:w="9344"/>
      </w:tblGrid>
      <w:tr>
        <w:trPr/>
        <w:tc>
          <w:tcPr>
            <w:tcW w:w="801"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4"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u w:val="single"/>
                </w:rPr>
                <w:t>Press release issued by Rail Vision Ltd. on August 26, 2026, titled “Rail Vision Delivers Strong Commercial Momentum in First Half of 2026 with Revenue Exceeding $1 Million.”</w:t>
              </w:r>
            </w:hyperlink>
          </w:p>
        </w:tc>
      </w:tr>
      <w:tr>
        <w:trPr/>
        <w:tc>
          <w:tcPr>
            <w:tcW w:w="8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4" w:type="dxa"/>
            <w:tcBorders/>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u w:val="single"/>
                </w:rPr>
                <w:t>Rail Vision Ltd.’s Interim Condensed Financial Statements as of June 30, 2026.</w:t>
              </w:r>
            </w:hyperlink>
          </w:p>
        </w:tc>
      </w:tr>
      <w:tr>
        <w:trPr/>
        <w:tc>
          <w:tcPr>
            <w:tcW w:w="80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4" w:type="dxa"/>
            <w:tcBorders/>
            <w:shd w:fill="CCEEFF" w:val="clear"/>
            <w:tcMar>
              <w:bottom w:w="0" w:type="dxa"/>
            </w:tcMar>
            <w:vAlign w:val="center"/>
          </w:tcPr>
          <w:p>
            <w:pPr>
              <w:pStyle w:val="TableContents"/>
              <w:bidi w:val="0"/>
              <w:spacing w:before="0" w:after="283"/>
              <w:jc w:val="both"/>
              <w:rPr/>
            </w:pPr>
            <w:hyperlink w:anchor="ex99-3.htm">
              <w:r>
                <w:rPr>
                  <w:rStyle w:val="InternetLink"/>
                  <w:rFonts w:ascii="Times New Roman;Times;Serif" w:hAnsi="Times New Roman;Times;Serif"/>
                  <w:b w:val="false"/>
                  <w:i w:val="false"/>
                  <w:caps w:val="false"/>
                  <w:smallCaps w:val="false"/>
                  <w:sz w:val="20"/>
                  <w:u w:val="single"/>
                </w:rPr>
                <w:t>Rail Vision Ltd.’s Management’s Discussion and Analysis of Financial Condition and Results of Operations for the six months ended June 30, 2026.</w:t>
              </w:r>
            </w:hyperlink>
          </w:p>
        </w:tc>
      </w:tr>
      <w:tr>
        <w:trPr/>
        <w:tc>
          <w:tcPr>
            <w:tcW w:w="8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4" w:type="dxa"/>
            <w:tcBorders/>
            <w:tcMar>
              <w:bottom w:w="0" w:type="dxa"/>
            </w:tcMar>
            <w:vAlign w:val="center"/>
          </w:tcPr>
          <w:p>
            <w:pPr>
              <w:pStyle w:val="TableContents"/>
              <w:bidi w:val="0"/>
              <w:spacing w:before="0" w:after="283"/>
              <w:jc w:val="both"/>
              <w:rPr/>
            </w:pPr>
            <w:hyperlink w:anchor="ex99-4.htm">
              <w:r>
                <w:rPr>
                  <w:rStyle w:val="InternetLink"/>
                  <w:rFonts w:ascii="Times New Roman;Times;Serif" w:hAnsi="Times New Roman;Times;Serif"/>
                  <w:b w:val="false"/>
                  <w:i w:val="false"/>
                  <w:caps w:val="false"/>
                  <w:smallCaps w:val="false"/>
                  <w:sz w:val="20"/>
                </w:rPr>
                <w:t>Rail Vision Ltd., Corporate Presentation</w:t>
              </w:r>
            </w:hyperlink>
          </w:p>
        </w:tc>
      </w:tr>
      <w:tr>
        <w:trPr/>
        <w:tc>
          <w:tcPr>
            <w:tcW w:w="801" w:type="dxa"/>
            <w:tcBorders/>
            <w:shd w:fill="CCEC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C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4" w:type="dxa"/>
            <w:tcBorders/>
            <w:shd w:fill="CCEC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8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01" w:type="dxa"/>
            <w:tcBorders/>
            <w:shd w:fill="CCEC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C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4" w:type="dxa"/>
            <w:tcBorders/>
            <w:shd w:fill="CCEC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01" w:type="dxa"/>
            <w:tcBorders/>
            <w:shd w:fill="CCEC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CCEC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4" w:type="dxa"/>
            <w:tcBorders/>
            <w:shd w:fill="CCEC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01" w:type="dxa"/>
            <w:tcBorders/>
            <w:shd w:fill="CCEC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C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4" w:type="dxa"/>
            <w:tcBorders/>
            <w:shd w:fill="CCEC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firstLine="72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1865"/>
        <w:gridCol w:w="545"/>
        <w:gridCol w:w="189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Ltd.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26,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Ofer Naveh</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Ofer Naveh</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shd w:fill="FFFFFF" w:val="clear"/>
        <w:bidi w:val="0"/>
        <w:spacing w:before="0" w:after="0"/>
        <w:ind w:left="0" w:right="0" w:hanging="0"/>
        <w:jc w:val="center"/>
        <w:rPr>
          <w:caps w:val="false"/>
          <w:smallCaps w:val="false"/>
        </w:rPr>
      </w:pPr>
      <w:bookmarkStart w:id="10" w:name="ex99-1.htm"/>
      <w:bookmarkStart w:id="11" w:name="ksex991"/>
      <w:bookmarkEnd w:id="10"/>
      <w:bookmarkEnd w:id="11"/>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drawing>
          <wp:inline distT="0" distB="0" distL="0" distR="0">
            <wp:extent cx="22383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2238375" cy="361950"/>
                    </a:xfrm>
                    <a:prstGeom prst="rect">
                      <a:avLst/>
                    </a:prstGeom>
                  </pic:spPr>
                </pic:pic>
              </a:graphicData>
            </a:graphic>
          </wp:inline>
        </w:drawing>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Delivers Strong Commercial Momentum in First Half of 2026 with Revenue Exceeding $1 Million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 for the first half of 2026 exceeded $1.0 million, compared to $237,000 in the first half of 2025</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ShuntingYard technology integrated into Railserve’s commercially launched YardGUARD system; successful field testing completed with Israel Railways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Ra’anana, Israel, August 26, 2026 (GLOBE NEWSWIRE) – Rail Vision Ltd. (Nasdaq: RVSN, FSE: C80) (“Rail Vision” or the “Company”), an early commercialization stage technology company transforming railway safety through advanced AI-integrated sensing systems, today announced its financial results for the first half ended June 30, 2026.</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The first half of 2026 marked a period of strong commercial momentum for Rail Vision,” said David BenDavid, Chief Executive Officer of Rail Vision. “We generated revenues of over $1.0 million, a significant increase from $237,000 in the same period last year, driven by growing adoption of our solutions. Our ShuntingYard technology was integrated into Railserve’s recently launched commercial YardGUARD safety system in the U.S., and we successfully completed field testing with Israel Railways, advancing into discussions regarding potential commercialization and deployment. We believe that these milestones reinforce the increasing validation of our AI-powered perception technology and position us well for continued commercial progress in key markets.”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First Half 2026 &amp; Recent Highlights: </w:t>
      </w:r>
    </w:p>
    <w:p>
      <w:pPr>
        <w:pStyle w:val="TextBody"/>
        <w:shd w:fill="FEFEFE" w:val="clear"/>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United States</w:t>
      </w:r>
      <w:r>
        <w:rPr>
          <w:rFonts w:ascii="Times New Roman;Times;Serif" w:hAnsi="Times New Roman;Times;Serif"/>
          <w:b w:val="false"/>
          <w:i w:val="false"/>
          <w:caps w:val="false"/>
          <w:smallCaps w:val="false"/>
          <w:sz w:val="20"/>
        </w:rPr>
        <w:t>: Rail Vision’s ShuntingYard technology was integrated as a core technology component within WatchGUARD, part of Railserve’s recently launched YardGUARD industrial railyard safety system. The Company also signed a non-binding memorandum of understanding with Railserve to explore additional deployments, use cases and commercial opportunities, subject to the execution of an additional binding agreement. Railserve operates as part of Marmon Rail, a Berkshire Hathaway company.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Israel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Rail Vision successfully completed ShuntingYard field testing with Israel Railways in active rail yard operations. The successful field test marks another significant milestone in the collaboration between the two organizations, building on the deployment of Rail Vision’s MainLine systems across Israel Railways’ locomotive fleet. Following the testing, the parties entered into discussions regarding potential commercialization and deployment of the system.</w:t>
      </w:r>
    </w:p>
    <w:p>
      <w:pPr>
        <w:pStyle w:val="TextBody"/>
        <w:shd w:fill="FEFEFE"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India</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In March 2026, the Company successfully completed a proof-of-concept evaluation of its MainLine system under real-world operating conditions with a major Indian rail operator in collaboration with Sujan Industries. Following positive customer feedback regarding the system’s performance and suitability, , the Company continues to advance further evaluation and potential controlled deployment opportunities in the Indian market.</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Global Commercial Activities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continued business development efforts across multiple international markets, including Latin America and Central America, while supporting existing customer deployments and evaluating additional commercial opportunities.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Quantum Transportation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January 2026, the Company completed the acquisition of a 51% controlling interest in Quantum Transportation, a cutting-edge quantum computing and AI company specializing in machine-learning-based error correction technologies, expanding its long-term technology capabilities in quantum-computing-based error-correction algorithms and potential future railway AI applications.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First Half 2026 Financial Results </w:t>
      </w:r>
    </w:p>
    <w:p>
      <w:pPr>
        <w:pStyle w:val="TextBody"/>
        <w:shd w:fill="FEFEFE"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$1,015,000 for the six months ended June 30, 2026, representing an increase of $778,000, or 328%, compared to $237,000 for the six months ended June 30, 2025. Revenues for the first half of 2026 were primarily derived from ShuntingYard Systems delivery for Railserve and from services provided to existing customers.</w:t>
            </w:r>
          </w:p>
        </w:tc>
      </w:tr>
    </w:tbl>
    <w:p>
      <w:pPr>
        <w:pStyle w:val="TextBody"/>
        <w:bidi w:val="0"/>
        <w:spacing w:before="0" w:after="0"/>
        <w:ind w:left="720" w:right="0" w:hanging="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170"/>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to $317 thousand, compared to $48 thousand in the first half of 2025.</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EFEFE" w:val="clear"/>
        <w:tblLayout w:type="fixed"/>
        <w:tblCellMar>
          <w:top w:w="0" w:type="dxa"/>
          <w:left w:w="0" w:type="dxa"/>
          <w:bottom w:w="0" w:type="dxa"/>
          <w:right w:w="0" w:type="dxa"/>
        </w:tblCellMar>
      </w:tblPr>
      <w:tblGrid>
        <w:gridCol w:w="38"/>
        <w:gridCol w:w="170"/>
        <w:gridCol w:w="9997"/>
      </w:tblGrid>
      <w:tr>
        <w:trPr/>
        <w:tc>
          <w:tcPr>
            <w:tcW w:w="38" w:type="dxa"/>
            <w:tcBorders/>
            <w:shd w:fill="FEFEFE" w:val="clear"/>
            <w:vAlign w:val="center"/>
          </w:tcPr>
          <w:p>
            <w:pPr>
              <w:pStyle w:val="TableContents"/>
              <w:bidi w:val="0"/>
              <w:spacing w:before="0" w:after="283"/>
              <w:jc w:val="left"/>
              <w:rPr>
                <w:sz w:val="4"/>
                <w:szCs w:val="4"/>
              </w:rPr>
            </w:pPr>
            <w:r>
              <w:rPr>
                <w:sz w:val="4"/>
                <w:szCs w:val="4"/>
              </w:rPr>
            </w:r>
          </w:p>
        </w:tc>
        <w:tc>
          <w:tcPr>
            <w:tcW w:w="170" w:type="dxa"/>
            <w:tcBorders/>
            <w:shd w:fill="FEFEFE"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EFEFE"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for the six months ended June 30, 2026, were $5,196,000, compared to R&amp;D expenses of $3,241,000 in the six months ended June 30, 2025. The increase in R&amp;D expenses included a non-cash expense of approximately $1,028,000 related to the write-off of acquired in-process research and development in connection with the Quantum Transportation acquisition. The increase was also attributable to higher salary expenses, primarily reflecting the depreciation of the U.S. dollar against the Israeli shekel (NIS), since salaries are paid in NIS, and consolidation of Quantum Transportation R&amp;D expenses.</w:t>
            </w:r>
          </w:p>
        </w:tc>
      </w:tr>
    </w:tbl>
    <w:p>
      <w:pPr>
        <w:pStyle w:val="TextBody"/>
        <w:shd w:fill="FEFEFE" w:val="clear"/>
        <w:bidi w:val="0"/>
        <w:spacing w:before="0" w:after="0"/>
        <w:ind w:left="720" w:right="0" w:hanging="0"/>
        <w:jc w:val="both"/>
        <w:rPr>
          <w:caps w:val="false"/>
          <w:smallCaps w:val="false"/>
        </w:rPr>
      </w:pPr>
      <w:r>
        <w:rPr>
          <w:caps w:val="false"/>
          <w:smallCaps w:val="false"/>
        </w:rPr>
        <w:t> </w:t>
      </w:r>
    </w:p>
    <w:tbl>
      <w:tblPr>
        <w:tblW w:w="10205" w:type="dxa"/>
        <w:jc w:val="left"/>
        <w:tblInd w:w="0" w:type="dxa"/>
        <w:shd w:fill="FEFEFE" w:val="clear"/>
        <w:tblLayout w:type="fixed"/>
        <w:tblCellMar>
          <w:top w:w="0" w:type="dxa"/>
          <w:left w:w="0" w:type="dxa"/>
          <w:bottom w:w="0" w:type="dxa"/>
          <w:right w:w="0" w:type="dxa"/>
        </w:tblCellMar>
      </w:tblPr>
      <w:tblGrid>
        <w:gridCol w:w="38"/>
        <w:gridCol w:w="170"/>
        <w:gridCol w:w="9997"/>
      </w:tblGrid>
      <w:tr>
        <w:trPr/>
        <w:tc>
          <w:tcPr>
            <w:tcW w:w="38" w:type="dxa"/>
            <w:tcBorders/>
            <w:shd w:fill="FEFEFE" w:val="clear"/>
            <w:vAlign w:val="center"/>
          </w:tcPr>
          <w:p>
            <w:pPr>
              <w:pStyle w:val="TableContents"/>
              <w:bidi w:val="0"/>
              <w:spacing w:before="0" w:after="283"/>
              <w:jc w:val="left"/>
              <w:rPr>
                <w:sz w:val="4"/>
                <w:szCs w:val="4"/>
              </w:rPr>
            </w:pPr>
            <w:r>
              <w:rPr>
                <w:sz w:val="4"/>
                <w:szCs w:val="4"/>
              </w:rPr>
            </w:r>
          </w:p>
        </w:tc>
        <w:tc>
          <w:tcPr>
            <w:tcW w:w="170" w:type="dxa"/>
            <w:tcBorders/>
            <w:shd w:fill="FEFEFE"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EFEFE"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six months ended June 30, 2026, were $3,150,000, compared to $2,512,000 in the six months ended June 30, 2025. The increase was primarily due to the depreciation of the U.S. dollar against the NIS, as a significant portion of expenses is denominated in NIS, higher share-based payment expenses due to new RSU grants to employees, increase in sale and marketing expenses and consolidation of Quantum Transportation G&amp;A expenses.</w:t>
            </w:r>
          </w:p>
        </w:tc>
      </w:tr>
    </w:tbl>
    <w:p>
      <w:pPr>
        <w:pStyle w:val="TextBody"/>
        <w:shd w:fill="FEFEFE" w:val="clear"/>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shd w:fill="FEFEFE"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the Company’s operating loss for the six months ended June 30, 2026, was $8,029,000 compared to an operating loss of $5,705,000 for the six months ended June 30, 2025.</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income amounted to $719,000 for the six months ended June 30, 2026, primarily attributable to interest income earned on short-term deposits.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EFEFE" w:val="clear"/>
        <w:tblLayout w:type="fixed"/>
        <w:tblCellMar>
          <w:top w:w="0" w:type="dxa"/>
          <w:left w:w="0" w:type="dxa"/>
          <w:bottom w:w="0" w:type="dxa"/>
          <w:right w:w="0" w:type="dxa"/>
        </w:tblCellMar>
      </w:tblPr>
      <w:tblGrid>
        <w:gridCol w:w="38"/>
        <w:gridCol w:w="170"/>
        <w:gridCol w:w="9997"/>
      </w:tblGrid>
      <w:tr>
        <w:trPr/>
        <w:tc>
          <w:tcPr>
            <w:tcW w:w="38" w:type="dxa"/>
            <w:tcBorders/>
            <w:shd w:fill="FEFEFE" w:val="clear"/>
            <w:vAlign w:val="center"/>
          </w:tcPr>
          <w:p>
            <w:pPr>
              <w:pStyle w:val="TableContents"/>
              <w:bidi w:val="0"/>
              <w:spacing w:before="0" w:after="283"/>
              <w:jc w:val="left"/>
              <w:rPr>
                <w:sz w:val="4"/>
                <w:szCs w:val="4"/>
              </w:rPr>
            </w:pPr>
            <w:r>
              <w:rPr>
                <w:sz w:val="4"/>
                <w:szCs w:val="4"/>
              </w:rPr>
            </w:r>
          </w:p>
        </w:tc>
        <w:tc>
          <w:tcPr>
            <w:tcW w:w="170" w:type="dxa"/>
            <w:tcBorders/>
            <w:shd w:fill="FEFEFE"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EFEFE"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for the six months ended June 30, 2026, was $7,310,000, or $3.30 per ordinary share, compared to a GAAP net loss of $5,679,000, or $3.38 per ordinary share, in the six months ended June 30, 2025.</w:t>
            </w:r>
          </w:p>
        </w:tc>
      </w:tr>
    </w:tbl>
    <w:p>
      <w:pPr>
        <w:pStyle w:val="TextBody"/>
        <w:shd w:fill="FEFEFE"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EFEFE" w:val="clear"/>
        <w:tblLayout w:type="fixed"/>
        <w:tblCellMar>
          <w:top w:w="0" w:type="dxa"/>
          <w:left w:w="0" w:type="dxa"/>
          <w:bottom w:w="0" w:type="dxa"/>
          <w:right w:w="0" w:type="dxa"/>
        </w:tblCellMar>
      </w:tblPr>
      <w:tblGrid>
        <w:gridCol w:w="38"/>
        <w:gridCol w:w="170"/>
        <w:gridCol w:w="9997"/>
      </w:tblGrid>
      <w:tr>
        <w:trPr/>
        <w:tc>
          <w:tcPr>
            <w:tcW w:w="38" w:type="dxa"/>
            <w:tcBorders/>
            <w:shd w:fill="FEFEFE" w:val="clear"/>
            <w:vAlign w:val="center"/>
          </w:tcPr>
          <w:p>
            <w:pPr>
              <w:pStyle w:val="TableContents"/>
              <w:bidi w:val="0"/>
              <w:spacing w:before="0" w:after="283"/>
              <w:jc w:val="left"/>
              <w:rPr>
                <w:sz w:val="4"/>
                <w:szCs w:val="4"/>
              </w:rPr>
            </w:pPr>
            <w:r>
              <w:rPr>
                <w:sz w:val="4"/>
                <w:szCs w:val="4"/>
              </w:rPr>
            </w:r>
          </w:p>
        </w:tc>
        <w:tc>
          <w:tcPr>
            <w:tcW w:w="170" w:type="dxa"/>
            <w:tcBorders/>
            <w:shd w:fill="FEFEFE"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EFEFE"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loss for the six months ended June 30, 2026, was $6,754,000 or $3.05 per ordinary share, compared to a non-GAAP net loss of $4,870,000 or $2.90 per ordinary share, in the six months ended June 30, 2025.</w:t>
            </w:r>
          </w:p>
        </w:tc>
      </w:tr>
    </w:tbl>
    <w:p>
      <w:pPr>
        <w:pStyle w:val="TextBody"/>
        <w:shd w:fill="FEFEFE" w:val="clear"/>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GAAP operating results and non-GAAP operating results is provided in the financial statements that are part of this release. Non-GAAP results exclude stock-based compensation expenses and Revaluation of derivatives, warrant liabilities and other.</w:t>
      </w:r>
    </w:p>
    <w:p>
      <w:pPr>
        <w:pStyle w:val="TextBody"/>
        <w:bidi w:val="0"/>
        <w:spacing w:before="0" w:after="0"/>
        <w:ind w:left="709" w:right="0" w:hanging="0"/>
        <w:jc w:val="both"/>
        <w:rPr>
          <w:caps w:val="false"/>
          <w:smallCaps w:val="false"/>
        </w:rPr>
      </w:pPr>
      <w:r>
        <w:rPr>
          <w:caps w:val="false"/>
          <w:smallCaps w:val="false"/>
        </w:rPr>
        <w:t> </w:t>
      </w:r>
    </w:p>
    <w:p>
      <w:pPr>
        <w:pStyle w:val="TextBody"/>
        <w:shd w:fill="FEFEFE"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Balance Sheet Highlights</w:t>
      </w:r>
    </w:p>
    <w:p>
      <w:pPr>
        <w:pStyle w:val="TextBody"/>
        <w:shd w:fill="FEFEFE" w:val="clear"/>
        <w:bidi w:val="0"/>
        <w:spacing w:before="0" w:after="0"/>
        <w:ind w:left="0" w:right="0" w:hanging="0"/>
        <w:jc w:val="left"/>
        <w:rPr>
          <w:caps w:val="false"/>
          <w:smallCaps w:val="false"/>
        </w:rPr>
      </w:pPr>
      <w:r>
        <w:rPr>
          <w:caps w:val="false"/>
          <w:smallCaps w:val="false"/>
        </w:rPr>
        <w:t> </w:t>
      </w:r>
    </w:p>
    <w:tbl>
      <w:tblPr>
        <w:tblW w:w="8283" w:type="dxa"/>
        <w:jc w:val="left"/>
        <w:tblInd w:w="0" w:type="dxa"/>
        <w:shd w:fill="FEFEFE" w:val="clear"/>
        <w:tblLayout w:type="fixed"/>
        <w:tblCellMar>
          <w:top w:w="0" w:type="dxa"/>
          <w:left w:w="0" w:type="dxa"/>
          <w:bottom w:w="0" w:type="dxa"/>
          <w:right w:w="0" w:type="dxa"/>
        </w:tblCellMar>
      </w:tblPr>
      <w:tblGrid>
        <w:gridCol w:w="38"/>
        <w:gridCol w:w="170"/>
        <w:gridCol w:w="8075"/>
      </w:tblGrid>
      <w:tr>
        <w:trPr/>
        <w:tc>
          <w:tcPr>
            <w:tcW w:w="38" w:type="dxa"/>
            <w:tcBorders/>
            <w:shd w:fill="FEFEFE" w:val="clear"/>
            <w:vAlign w:val="center"/>
          </w:tcPr>
          <w:p>
            <w:pPr>
              <w:pStyle w:val="TableContents"/>
              <w:bidi w:val="0"/>
              <w:spacing w:before="0" w:after="283"/>
              <w:jc w:val="left"/>
              <w:rPr>
                <w:sz w:val="4"/>
                <w:szCs w:val="4"/>
              </w:rPr>
            </w:pPr>
            <w:r>
              <w:rPr>
                <w:sz w:val="4"/>
                <w:szCs w:val="4"/>
              </w:rPr>
            </w:r>
          </w:p>
        </w:tc>
        <w:tc>
          <w:tcPr>
            <w:tcW w:w="170" w:type="dxa"/>
            <w:tcBorders/>
            <w:shd w:fill="FEFEFE" w:val="clear"/>
            <w:vAlign w:val="center"/>
          </w:tcPr>
          <w:p>
            <w:pPr>
              <w:pStyle w:val="TableContents"/>
              <w:bidi w:val="0"/>
              <w:spacing w:before="0" w:after="283"/>
              <w:jc w:val="left"/>
              <w:rPr>
                <w:caps w:val="false"/>
                <w:smallCaps w:val="false"/>
              </w:rPr>
            </w:pPr>
            <w:r>
              <w:rPr>
                <w:caps w:val="false"/>
                <w:smallCaps w:val="false"/>
              </w:rPr>
              <w:t>●</w:t>
            </w:r>
          </w:p>
        </w:tc>
        <w:tc>
          <w:tcPr>
            <w:tcW w:w="8075" w:type="dxa"/>
            <w:tcBorders/>
            <w:shd w:fill="FEFEFE"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totaled approximately $15.6 million as of June 30, 2026.</w:t>
            </w:r>
          </w:p>
        </w:tc>
      </w:tr>
    </w:tbl>
    <w:p>
      <w:pPr>
        <w:pStyle w:val="TextBody"/>
        <w:shd w:fill="FEFEFE" w:val="clear"/>
        <w:bidi w:val="0"/>
        <w:spacing w:before="0" w:after="0"/>
        <w:ind w:left="714" w:right="0" w:hanging="357"/>
        <w:jc w:val="both"/>
        <w:rPr>
          <w:caps w:val="false"/>
          <w:smallCaps w:val="false"/>
        </w:rPr>
      </w:pPr>
      <w:r>
        <w:rPr>
          <w:caps w:val="false"/>
          <w:smallCaps w:val="false"/>
        </w:rPr>
        <w:t> </w:t>
      </w:r>
    </w:p>
    <w:tbl>
      <w:tblPr>
        <w:tblW w:w="5628" w:type="dxa"/>
        <w:jc w:val="left"/>
        <w:tblInd w:w="0" w:type="dxa"/>
        <w:shd w:fill="FEFEFE" w:val="clear"/>
        <w:tblLayout w:type="fixed"/>
        <w:tblCellMar>
          <w:top w:w="0" w:type="dxa"/>
          <w:left w:w="0" w:type="dxa"/>
          <w:bottom w:w="0" w:type="dxa"/>
          <w:right w:w="0" w:type="dxa"/>
        </w:tblCellMar>
      </w:tblPr>
      <w:tblGrid>
        <w:gridCol w:w="38"/>
        <w:gridCol w:w="170"/>
        <w:gridCol w:w="5420"/>
      </w:tblGrid>
      <w:tr>
        <w:trPr/>
        <w:tc>
          <w:tcPr>
            <w:tcW w:w="38" w:type="dxa"/>
            <w:tcBorders/>
            <w:shd w:fill="FEFEFE" w:val="clear"/>
            <w:vAlign w:val="center"/>
          </w:tcPr>
          <w:p>
            <w:pPr>
              <w:pStyle w:val="TableContents"/>
              <w:bidi w:val="0"/>
              <w:spacing w:before="0" w:after="283"/>
              <w:jc w:val="left"/>
              <w:rPr>
                <w:sz w:val="4"/>
                <w:szCs w:val="4"/>
              </w:rPr>
            </w:pPr>
            <w:r>
              <w:rPr>
                <w:sz w:val="4"/>
                <w:szCs w:val="4"/>
              </w:rPr>
            </w:r>
          </w:p>
        </w:tc>
        <w:tc>
          <w:tcPr>
            <w:tcW w:w="170" w:type="dxa"/>
            <w:tcBorders/>
            <w:shd w:fill="FEFEFE" w:val="clear"/>
            <w:vAlign w:val="center"/>
          </w:tcPr>
          <w:p>
            <w:pPr>
              <w:pStyle w:val="TableContents"/>
              <w:bidi w:val="0"/>
              <w:spacing w:before="0" w:after="283"/>
              <w:jc w:val="left"/>
              <w:rPr>
                <w:caps w:val="false"/>
                <w:smallCaps w:val="false"/>
              </w:rPr>
            </w:pPr>
            <w:r>
              <w:rPr>
                <w:caps w:val="false"/>
                <w:smallCaps w:val="false"/>
              </w:rPr>
              <w:t>●</w:t>
            </w:r>
          </w:p>
        </w:tc>
        <w:tc>
          <w:tcPr>
            <w:tcW w:w="5420" w:type="dxa"/>
            <w:tcBorders/>
            <w:shd w:fill="FEFEFE"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was approximately $15.8 million as of June 30, 2026.</w:t>
            </w:r>
          </w:p>
        </w:tc>
      </w:tr>
    </w:tbl>
    <w:p>
      <w:pPr>
        <w:pStyle w:val="TextBody"/>
        <w:shd w:fill="FEFEFE" w:val="clear"/>
        <w:bidi w:val="0"/>
        <w:spacing w:before="0" w:after="0"/>
        <w:ind w:left="714" w:right="0" w:hanging="357"/>
        <w:jc w:val="both"/>
        <w:rPr>
          <w:caps w:val="false"/>
          <w:smallCaps w:val="false"/>
        </w:rPr>
      </w:pPr>
      <w:r>
        <w:rPr>
          <w:caps w:val="false"/>
          <w:smallCaps w:val="false"/>
        </w:rPr>
        <w:t> </w:t>
      </w:r>
    </w:p>
    <w:tbl>
      <w:tblPr>
        <w:tblW w:w="4818" w:type="dxa"/>
        <w:jc w:val="left"/>
        <w:tblInd w:w="0" w:type="dxa"/>
        <w:shd w:fill="FEFEFE" w:val="clear"/>
        <w:tblLayout w:type="fixed"/>
        <w:tblCellMar>
          <w:top w:w="0" w:type="dxa"/>
          <w:left w:w="0" w:type="dxa"/>
          <w:bottom w:w="0" w:type="dxa"/>
          <w:right w:w="0" w:type="dxa"/>
        </w:tblCellMar>
      </w:tblPr>
      <w:tblGrid>
        <w:gridCol w:w="38"/>
        <w:gridCol w:w="170"/>
        <w:gridCol w:w="4610"/>
      </w:tblGrid>
      <w:tr>
        <w:trPr/>
        <w:tc>
          <w:tcPr>
            <w:tcW w:w="38" w:type="dxa"/>
            <w:tcBorders/>
            <w:shd w:fill="FEFEFE" w:val="clear"/>
            <w:vAlign w:val="center"/>
          </w:tcPr>
          <w:p>
            <w:pPr>
              <w:pStyle w:val="TableContents"/>
              <w:bidi w:val="0"/>
              <w:spacing w:before="0" w:after="283"/>
              <w:jc w:val="left"/>
              <w:rPr>
                <w:sz w:val="4"/>
                <w:szCs w:val="4"/>
              </w:rPr>
            </w:pPr>
            <w:r>
              <w:rPr>
                <w:sz w:val="4"/>
                <w:szCs w:val="4"/>
              </w:rPr>
            </w:r>
          </w:p>
        </w:tc>
        <w:tc>
          <w:tcPr>
            <w:tcW w:w="170" w:type="dxa"/>
            <w:tcBorders/>
            <w:shd w:fill="FEFEFE" w:val="clear"/>
            <w:vAlign w:val="center"/>
          </w:tcPr>
          <w:p>
            <w:pPr>
              <w:pStyle w:val="TableContents"/>
              <w:bidi w:val="0"/>
              <w:spacing w:before="0" w:after="283"/>
              <w:jc w:val="left"/>
              <w:rPr>
                <w:caps w:val="false"/>
                <w:smallCaps w:val="false"/>
              </w:rPr>
            </w:pPr>
            <w:r>
              <w:rPr>
                <w:caps w:val="false"/>
                <w:smallCaps w:val="false"/>
              </w:rPr>
              <w:t>●</w:t>
            </w:r>
          </w:p>
        </w:tc>
        <w:tc>
          <w:tcPr>
            <w:tcW w:w="4610" w:type="dxa"/>
            <w:tcBorders/>
            <w:shd w:fill="FEFEFE"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no financial debt as of June 30, 2026.</w:t>
            </w:r>
          </w:p>
        </w:tc>
      </w:tr>
    </w:tbl>
    <w:p>
      <w:pPr>
        <w:pStyle w:val="TextBody"/>
        <w:shd w:fill="FEFEFE" w:val="clear"/>
        <w:bidi w:val="0"/>
        <w:spacing w:before="0" w:after="0"/>
        <w:ind w:left="714" w:right="0" w:hanging="357"/>
        <w:jc w:val="both"/>
        <w:rPr>
          <w:caps w:val="false"/>
          <w:smallCaps w:val="false"/>
        </w:rPr>
      </w:pPr>
      <w:r>
        <w:rPr>
          <w:caps w:val="false"/>
          <w:smallCaps w:val="false"/>
        </w:rPr>
        <w:t> </w:t>
      </w:r>
    </w:p>
    <w:tbl>
      <w:tblPr>
        <w:tblW w:w="10205" w:type="dxa"/>
        <w:jc w:val="left"/>
        <w:tblInd w:w="0" w:type="dxa"/>
        <w:shd w:fill="FEFEFE" w:val="clear"/>
        <w:tblLayout w:type="fixed"/>
        <w:tblCellMar>
          <w:top w:w="0" w:type="dxa"/>
          <w:left w:w="0" w:type="dxa"/>
          <w:bottom w:w="0" w:type="dxa"/>
          <w:right w:w="0" w:type="dxa"/>
        </w:tblCellMar>
      </w:tblPr>
      <w:tblGrid>
        <w:gridCol w:w="38"/>
        <w:gridCol w:w="170"/>
        <w:gridCol w:w="9997"/>
      </w:tblGrid>
      <w:tr>
        <w:trPr/>
        <w:tc>
          <w:tcPr>
            <w:tcW w:w="38" w:type="dxa"/>
            <w:tcBorders/>
            <w:shd w:fill="FEFEFE" w:val="clear"/>
            <w:vAlign w:val="center"/>
          </w:tcPr>
          <w:p>
            <w:pPr>
              <w:pStyle w:val="TableContents"/>
              <w:bidi w:val="0"/>
              <w:spacing w:before="0" w:after="283"/>
              <w:jc w:val="left"/>
              <w:rPr>
                <w:sz w:val="4"/>
                <w:szCs w:val="4"/>
              </w:rPr>
            </w:pPr>
            <w:r>
              <w:rPr>
                <w:sz w:val="4"/>
                <w:szCs w:val="4"/>
              </w:rPr>
            </w:r>
          </w:p>
        </w:tc>
        <w:tc>
          <w:tcPr>
            <w:tcW w:w="170" w:type="dxa"/>
            <w:tcBorders/>
            <w:shd w:fill="FEFEFE"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EFEFE"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half of 2026, the Company raised approximately $1.1 million in gross proceeds under its at-the-market (ATM) offering program.</w:t>
            </w:r>
          </w:p>
        </w:tc>
      </w:tr>
    </w:tbl>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Results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disclosing financial results calculated in accordance with United States generally accepted accounting principles (GAAP), the company’s earnings release contains non-GAAP financial measures of net loss for the period that excludes the effect of stock-based compensation expenses and Revaluation of derivatives, warrant liabilities and other. The company’s management believes the non-GAAP financial information provided in this release is useful to investors’ understanding and assessment of the company’s on-going operations. Management also uses both GAAP and non-GAAP information in evaluating and operating business internally and as such deemed it important to provide all this information to investors. The non-GAAP financial measures disclosed by the company should not be considered in isolation or as a substitute for, or superior to, financial measures calculated in accordance with GAAP, and the financial results calculated in accordance with GAAP and reconciliations to those financial statements should be carefully evaluated. Investors are encouraged to review the related U.S. GAAP financial measures and the reconciliation of these Non-GAAP financial measures to their most directly comparable U.S. GAAP financial measures and not rely on any single financial measure to evaluate the company’s business. For more information on the non-GAAP financial measures, please see the “Reconciliation of GAAP to Non-GAAP Financial Measures” later in this release. This accompanying table has more details on the GAAP financial measures that are most directly comparable to non-GAAP financial measures and the related reconciliations between these financial measures.</w:t>
      </w:r>
    </w:p>
    <w:p>
      <w:pPr>
        <w:pStyle w:val="TextBody"/>
        <w:shd w:fill="FEFEFE"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Rail Vision Ltd.</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(Nasdaq: RVSN, FSE: C80) is an early commercialization stage technology company transforming railway safety through advanced AI-integrated sensing systems. The Company develops and commercializes proprietary, multi-spectral electro-optic platforms that provide extended-range situational awareness and real-time hazard detection. Using machine learning algorithms to identify and classify obstacles, Rail Vision’s technology enhances safety, improves operational efficiency, and supports continuity across deployments.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cloud-based platform complements its products by transforming railway operational data into actionable insights that help optimize performance, reduce downtime, and improve safety. As the Company expands its global footprint, it delivers AI-driven perception that supports safer operations, reduces operational risk, and enables the transition to fully autonomous operations.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holds a 51% stake in Quantum Transportation, which has an exclusive sub-license for rail technologies under an innovative pending patent in quantum error correction owned by Ramot, the technology transfer company of Tel Aviv University.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https://www.railvision.io/</w:t>
      </w:r>
    </w:p>
    <w:p>
      <w:pPr>
        <w:pStyle w:val="TextBody"/>
        <w:shd w:fill="FEFEFE" w:val="clear"/>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EFEFE"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is using forward-looking statements when it discusses the increasing validation of its AI-powered technology, continued commercial progress in key markets, exploring additional deployments, use cases and commercial opportunities with Railserve, the outcome of discussions regarding potential commercialization and deployment the Company’s solutions with Israel Railways, its evaluation of additional commercial opportunities and advancing further evaluation and potential controlled deployment opportunities in the Indian market. Forward-looking statements are not historical facts, and are based upon management’s current expectations, beliefs and projections, many of which, by their nature, are inherently uncertain.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(“SEC”), including, but not limited to, the risks detailed in the Company’s annual report on Form 20-F filed with the SEC on March 31, 2026.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Rail Vision is not responsible for the contents of third-party websites.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BenDavid</w:t>
        <w:br/>
        <w:t>Chief Executive Officer</w:t>
        <w:br/>
        <w:t>Rail Vision Ltd.</w:t>
        <w:br/>
        <w:t>15 Ha’Tidhar St</w:t>
        <w:br/>
        <w:t>Ra’anana, 4366517 Israel</w:t>
        <w:br/>
        <w:t>Telephone: +972- 9-957-7706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Michal Efraty</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investors@railvision.io</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data and per share data)</w:t>
      </w:r>
    </w:p>
    <w:p>
      <w:pPr>
        <w:pStyle w:val="TextBody"/>
        <w:bidi w:val="0"/>
        <w:spacing w:before="0" w:after="0"/>
        <w:ind w:left="0" w:right="0" w:hanging="0"/>
        <w:jc w:val="center"/>
        <w:rPr>
          <w:caps w:val="false"/>
          <w:smallCaps w:val="false"/>
        </w:rPr>
      </w:pPr>
      <w:r>
        <w:rPr>
          <w:caps w:val="false"/>
          <w:smallCaps w:val="false"/>
        </w:rPr>
        <w:t> </w:t>
      </w:r>
    </w:p>
    <w:tbl>
      <w:tblPr>
        <w:tblW w:w="9008" w:type="dxa"/>
        <w:jc w:val="left"/>
        <w:tblInd w:w="0" w:type="dxa"/>
        <w:tblLayout w:type="fixed"/>
        <w:tblCellMar>
          <w:top w:w="0" w:type="dxa"/>
          <w:left w:w="0" w:type="dxa"/>
          <w:bottom w:w="0" w:type="dxa"/>
          <w:right w:w="0" w:type="dxa"/>
        </w:tblCellMar>
      </w:tblPr>
      <w:tblGrid>
        <w:gridCol w:w="5315"/>
        <w:gridCol w:w="60"/>
        <w:gridCol w:w="195"/>
        <w:gridCol w:w="1219"/>
        <w:gridCol w:w="95"/>
        <w:gridCol w:w="60"/>
        <w:gridCol w:w="268"/>
        <w:gridCol w:w="1686"/>
        <w:gridCol w:w="110"/>
      </w:tblGrid>
      <w:tr>
        <w:trPr/>
        <w:tc>
          <w:tcPr>
            <w:tcW w:w="53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Audited</w:t>
            </w:r>
          </w:p>
        </w:tc>
        <w:tc>
          <w:tcPr>
            <w:tcW w:w="11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b/>
                <w:u w:val="single"/>
              </w:rPr>
            </w:pPr>
            <w:r>
              <w:rPr>
                <w:b/>
                <w:u w:val="single"/>
              </w:rPr>
              <w:t>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1219" w:type="dxa"/>
            <w:tcBorders/>
            <w:shd w:fill="FFFFFF" w:val="clear"/>
            <w:vAlign w:val="center"/>
          </w:tcPr>
          <w:p>
            <w:pPr>
              <w:pStyle w:val="TableContents"/>
              <w:bidi w:val="0"/>
              <w:spacing w:before="0" w:after="283"/>
              <w:jc w:val="right"/>
              <w:rPr/>
            </w:pPr>
            <w:r>
              <w:rPr/>
              <w:t>15,314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w:t>
            </w:r>
          </w:p>
        </w:tc>
        <w:tc>
          <w:tcPr>
            <w:tcW w:w="1686" w:type="dxa"/>
            <w:tcBorders/>
            <w:shd w:fill="FFFFFF" w:val="clear"/>
            <w:vAlign w:val="center"/>
          </w:tcPr>
          <w:p>
            <w:pPr>
              <w:pStyle w:val="TableContents"/>
              <w:bidi w:val="0"/>
              <w:spacing w:before="0" w:after="283"/>
              <w:jc w:val="right"/>
              <w:rPr/>
            </w:pPr>
            <w:r>
              <w:rPr/>
              <w:t>19,957</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272</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215</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1,207</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541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r>
              <w:rPr/>
              <w:t>342</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pPr>
            <w:r>
              <w:rPr/>
              <w:t>17,202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21,993</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Operating lease - right of use asset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254</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Fixed assets, net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pPr>
            <w:r>
              <w:rPr/>
              <w:t>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double" w:sz="6" w:space="0" w:color="000000"/>
            </w:tcBorders>
            <w:shd w:fill="FFFFFF" w:val="clear"/>
            <w:tcMar>
              <w:bottom w:w="28" w:type="dxa"/>
            </w:tcMar>
            <w:vAlign w:val="center"/>
          </w:tcPr>
          <w:p>
            <w:pPr>
              <w:pStyle w:val="TableContents"/>
              <w:bidi w:val="0"/>
              <w:spacing w:before="0" w:after="283"/>
              <w:jc w:val="right"/>
              <w:rPr/>
            </w:pPr>
            <w:r>
              <w:rPr/>
              <w:t>17,583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shd w:fill="FFFFFF" w:val="clear"/>
            <w:tcMar>
              <w:bottom w:w="28" w:type="dxa"/>
            </w:tcMar>
            <w:vAlign w:val="center"/>
          </w:tcPr>
          <w:p>
            <w:pPr>
              <w:pStyle w:val="TableContents"/>
              <w:bidi w:val="0"/>
              <w:spacing w:before="0" w:after="283"/>
              <w:jc w:val="right"/>
              <w:rPr/>
            </w:pPr>
            <w:r>
              <w:rPr/>
              <w:t>22,543</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u w:val="single"/>
              </w:rPr>
            </w:pPr>
            <w:r>
              <w:rPr>
                <w:b/>
                <w:u w:val="single"/>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Trade accounts payables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219</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Current operating lease liability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248</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Other accounts payable</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pPr>
            <w:r>
              <w:rPr/>
              <w:t>1,568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1,742</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1,792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r>
              <w:rPr/>
              <w:t>2,209</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1,792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r>
              <w:rPr/>
              <w:t>2,209</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130,816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128,104</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(115,025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r>
              <w:rPr/>
              <w:t>(107,770</w:t>
            </w:r>
          </w:p>
        </w:tc>
        <w:tc>
          <w:tcPr>
            <w:tcW w:w="110" w:type="dxa"/>
            <w:tcBorders/>
            <w:shd w:fill="FFFFFF" w:val="clear"/>
            <w:vAlign w:val="center"/>
          </w:tcPr>
          <w:p>
            <w:pPr>
              <w:pStyle w:val="TableContents"/>
              <w:bidi w:val="0"/>
              <w:spacing w:before="0" w:after="283"/>
              <w:jc w:val="left"/>
              <w:rPr/>
            </w:pPr>
            <w:r>
              <w:rPr/>
              <w:t>)</w:t>
            </w:r>
          </w:p>
        </w:tc>
      </w:tr>
      <w:tr>
        <w:trPr/>
        <w:tc>
          <w:tcPr>
            <w:tcW w:w="5315"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pPr>
            <w:r>
              <w:rPr/>
              <w:t>15,791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20,334</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double" w:sz="6" w:space="0" w:color="000000"/>
            </w:tcBorders>
            <w:shd w:fill="CCEEFF" w:val="clear"/>
            <w:tcMar>
              <w:bottom w:w="28" w:type="dxa"/>
            </w:tcMar>
            <w:vAlign w:val="center"/>
          </w:tcPr>
          <w:p>
            <w:pPr>
              <w:pStyle w:val="TableContents"/>
              <w:bidi w:val="0"/>
              <w:spacing w:before="0" w:after="283"/>
              <w:jc w:val="right"/>
              <w:rPr/>
            </w:pPr>
            <w:r>
              <w:rPr/>
              <w:t>17,583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shd w:fill="CCEEFF" w:val="clear"/>
            <w:tcMar>
              <w:bottom w:w="28" w:type="dxa"/>
            </w:tcMar>
            <w:vAlign w:val="center"/>
          </w:tcPr>
          <w:p>
            <w:pPr>
              <w:pStyle w:val="TableContents"/>
              <w:bidi w:val="0"/>
              <w:spacing w:before="0" w:after="283"/>
              <w:jc w:val="right"/>
              <w:rPr/>
            </w:pPr>
            <w:r>
              <w:rPr/>
              <w:t>22,543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UNAUDITED INTERIM CONDENSED 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data and per ordinary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40"/>
        <w:gridCol w:w="60"/>
        <w:gridCol w:w="140"/>
        <w:gridCol w:w="980"/>
        <w:gridCol w:w="95"/>
        <w:gridCol w:w="60"/>
        <w:gridCol w:w="140"/>
        <w:gridCol w:w="980"/>
        <w:gridCol w:w="110"/>
      </w:tblGrid>
      <w:tr>
        <w:trPr/>
        <w:tc>
          <w:tcPr>
            <w:tcW w:w="7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both"/>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237</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both"/>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both"/>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w:t>
            </w:r>
          </w:p>
        </w:tc>
        <w:tc>
          <w:tcPr>
            <w:tcW w:w="11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both"/>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(3,241</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both"/>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(3,150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(2,512</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both"/>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(5,705</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both"/>
              <w:rPr>
                <w:b/>
              </w:rPr>
            </w:pPr>
            <w:r>
              <w:rPr>
                <w:b/>
              </w:rPr>
              <w:t>Financial (expenses)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both"/>
              <w:rPr/>
            </w:pPr>
            <w:r>
              <w:rPr/>
              <w:t>Revaluation of derivatives, warrant liabilities and 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(380</w:t>
            </w:r>
          </w:p>
        </w:tc>
        <w:tc>
          <w:tcPr>
            <w:tcW w:w="110" w:type="dxa"/>
            <w:tcBorders/>
            <w:shd w:fill="CCEEFF" w:val="clear"/>
            <w:vAlign w:val="center"/>
          </w:tcPr>
          <w:p>
            <w:pPr>
              <w:pStyle w:val="TableContents"/>
              <w:bidi w:val="0"/>
              <w:spacing w:before="0" w:after="283"/>
              <w:jc w:val="left"/>
              <w:rPr/>
            </w:pPr>
            <w:r>
              <w:rPr/>
              <w:t>)</w:t>
            </w:r>
          </w:p>
        </w:tc>
      </w:tr>
      <w:tr>
        <w:trPr/>
        <w:tc>
          <w:tcPr>
            <w:tcW w:w="7640" w:type="dxa"/>
            <w:tcBorders/>
            <w:shd w:fill="FFFFFF" w:val="clear"/>
            <w:vAlign w:val="center"/>
          </w:tcPr>
          <w:p>
            <w:pPr>
              <w:pStyle w:val="TableContents"/>
              <w:bidi w:val="0"/>
              <w:spacing w:before="0" w:after="283"/>
              <w:jc w:val="both"/>
              <w:rPr/>
            </w:pPr>
            <w:r>
              <w:rPr/>
              <w:t>Other financing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406</w:t>
            </w:r>
          </w:p>
        </w:tc>
        <w:tc>
          <w:tcPr>
            <w:tcW w:w="11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both"/>
              <w:rPr>
                <w:b/>
              </w:rPr>
            </w:pPr>
            <w:r>
              <w:rPr>
                <w:b/>
              </w:rPr>
              <w:t>Net loss for the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(7,310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(5,679</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both"/>
              <w:rPr/>
            </w:pPr>
            <w:r>
              <w:rPr/>
              <w:t>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both"/>
              <w:rPr>
                <w:b/>
              </w:rPr>
            </w:pPr>
            <w:r>
              <w:rPr>
                <w:b/>
              </w:rPr>
              <w:t>Net loss attributable to Rail Vision Ltd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(5,679</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both"/>
              <w:rPr>
                <w:b/>
              </w:rPr>
            </w:pPr>
            <w:r>
              <w:rPr>
                <w:b/>
              </w:rPr>
              <w:t>Basic and diluted loss per share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(3.38</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both"/>
              <w:rPr/>
            </w:pPr>
            <w:r>
              <w:rPr/>
              <w:t>Weighted average number of shares outstanding used to compute basic and diluted loss per ordinary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2,197,458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1,678,809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is calculated by dividing net loss attributable to shareholders of the Company by the weighted average number of ordinary shares outstanding during the period.</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Rail Vision Ltd.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UNAUDITED INTERIM CONDENSED CONSOLIDATED STATEMENTS OF CHANGES IN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data and per share data)</w:t>
      </w:r>
    </w:p>
    <w:p>
      <w:pPr>
        <w:pStyle w:val="TextBody"/>
        <w:bidi w:val="0"/>
        <w:spacing w:before="0" w:after="0"/>
        <w:ind w:left="0" w:right="0" w:firstLine="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7"/>
        <w:gridCol w:w="60"/>
        <w:gridCol w:w="62"/>
        <w:gridCol w:w="1016"/>
        <w:gridCol w:w="60"/>
        <w:gridCol w:w="60"/>
        <w:gridCol w:w="96"/>
        <w:gridCol w:w="419"/>
        <w:gridCol w:w="60"/>
        <w:gridCol w:w="60"/>
        <w:gridCol w:w="76"/>
        <w:gridCol w:w="1024"/>
        <w:gridCol w:w="60"/>
        <w:gridCol w:w="60"/>
        <w:gridCol w:w="89"/>
        <w:gridCol w:w="1316"/>
        <w:gridCol w:w="95"/>
        <w:gridCol w:w="60"/>
        <w:gridCol w:w="120"/>
        <w:gridCol w:w="1372"/>
        <w:gridCol w:w="95"/>
        <w:gridCol w:w="60"/>
        <w:gridCol w:w="93"/>
        <w:gridCol w:w="1061"/>
        <w:gridCol w:w="95"/>
        <w:gridCol w:w="60"/>
        <w:gridCol w:w="62"/>
        <w:gridCol w:w="703"/>
        <w:gridCol w:w="114"/>
      </w:tblGrid>
      <w:tr>
        <w:trPr/>
        <w:tc>
          <w:tcPr>
            <w:tcW w:w="16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3"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Ordinary 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2" w:type="dxa"/>
            <w:gridSpan w:val="2"/>
            <w:tcBorders/>
            <w:vAlign w:val="center"/>
          </w:tcPr>
          <w:p>
            <w:pPr>
              <w:pStyle w:val="TableContents"/>
              <w:bidi w:val="0"/>
              <w:spacing w:before="0" w:after="283"/>
              <w:jc w:val="center"/>
              <w:rPr>
                <w:b/>
              </w:rPr>
            </w:pPr>
            <w:r>
              <w:rPr>
                <w:b/>
              </w:rPr>
              <w:t>Total Rail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5"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16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center"/>
          </w:tcPr>
          <w:p>
            <w:pPr>
              <w:pStyle w:val="TableContents"/>
              <w:bidi w:val="0"/>
              <w:jc w:val="center"/>
              <w:rPr>
                <w:b/>
              </w:rPr>
            </w:pPr>
            <w:r>
              <w:rPr>
                <w:b/>
              </w:rPr>
              <w:t>Number of shares</w:t>
            </w:r>
          </w:p>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jc w:val="center"/>
              <w:rPr>
                <w:b/>
              </w:rPr>
            </w:pPr>
            <w:r>
              <w:rPr>
                <w:b/>
              </w:rPr>
              <w:t>Additional</w:t>
            </w:r>
          </w:p>
          <w:p>
            <w:pPr>
              <w:pStyle w:val="TableContents"/>
              <w:bidi w:val="0"/>
              <w:jc w:val="center"/>
              <w:rPr>
                <w:b/>
              </w:rPr>
            </w:pPr>
            <w:r>
              <w:rPr>
                <w:b/>
              </w:rPr>
              <w:t>paid in</w:t>
            </w:r>
          </w:p>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Vision Ltd. shareholders’ 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jc w:val="center"/>
              <w:rPr>
                <w:b/>
              </w:rPr>
            </w:pPr>
            <w:r>
              <w:rPr>
                <w:b/>
              </w:rPr>
              <w:t>Non-</w:t>
            </w:r>
          </w:p>
          <w:p>
            <w:pPr>
              <w:pStyle w:val="TableContents"/>
              <w:bidi w:val="0"/>
              <w:spacing w:before="0" w:after="283"/>
              <w:jc w:val="center"/>
              <w:rPr>
                <w:b/>
              </w:rPr>
            </w:pPr>
            <w:r>
              <w:rPr>
                <w:b/>
              </w:rPr>
              <w:t>controlling 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equity</w:t>
            </w:r>
          </w:p>
        </w:tc>
        <w:tc>
          <w:tcPr>
            <w:tcW w:w="114" w:type="dxa"/>
            <w:tcBorders/>
            <w:vAlign w:val="center"/>
          </w:tcPr>
          <w:p>
            <w:pPr>
              <w:pStyle w:val="TableContents"/>
              <w:bidi w:val="0"/>
              <w:spacing w:before="0" w:after="283"/>
              <w:jc w:val="left"/>
              <w:rPr/>
            </w:pPr>
            <w:r>
              <w:rPr/>
              <w:t> </w:t>
            </w:r>
          </w:p>
        </w:tc>
      </w:tr>
      <w:tr>
        <w:trPr/>
        <w:tc>
          <w:tcPr>
            <w:tcW w:w="1697" w:type="dxa"/>
            <w:tcBorders/>
            <w:shd w:fill="CCEEFF" w:val="clear"/>
            <w:vAlign w:val="center"/>
          </w:tcPr>
          <w:p>
            <w:pPr>
              <w:pStyle w:val="TableContents"/>
              <w:bidi w:val="0"/>
              <w:spacing w:before="0" w:after="283"/>
              <w:jc w:val="left"/>
              <w:rPr>
                <w:b/>
              </w:rPr>
            </w:pPr>
            <w:r>
              <w:rPr>
                <w:b/>
              </w:rPr>
              <w:t>Balance as of January 1, 2026</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2,014,263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128,104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(107,770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20,334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20,334</w:t>
            </w:r>
          </w:p>
        </w:tc>
        <w:tc>
          <w:tcPr>
            <w:tcW w:w="114" w:type="dxa"/>
            <w:tcBorders/>
            <w:shd w:fill="CCEEFF" w:val="clear"/>
            <w:vAlign w:val="center"/>
          </w:tcPr>
          <w:p>
            <w:pPr>
              <w:pStyle w:val="TableContents"/>
              <w:bidi w:val="0"/>
              <w:spacing w:before="0" w:after="283"/>
              <w:jc w:val="left"/>
              <w:rPr/>
            </w:pPr>
            <w:r>
              <w:rPr/>
              <w:t> </w:t>
            </w:r>
          </w:p>
        </w:tc>
      </w:tr>
      <w:tr>
        <w:trPr/>
        <w:tc>
          <w:tcPr>
            <w:tcW w:w="1697" w:type="dxa"/>
            <w:tcBorders/>
            <w:shd w:fill="FFFFFF" w:val="clear"/>
            <w:vAlign w:val="center"/>
          </w:tcPr>
          <w:p>
            <w:pPr>
              <w:pStyle w:val="TableContents"/>
              <w:bidi w:val="0"/>
              <w:spacing w:before="0" w:after="283"/>
              <w:jc w:val="left"/>
              <w:rPr/>
            </w:pPr>
            <w:r>
              <w:rPr/>
              <w:t>Acquisition of Quantum Transportation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99,424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1,073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1,128</w:t>
            </w:r>
          </w:p>
        </w:tc>
        <w:tc>
          <w:tcPr>
            <w:tcW w:w="114" w:type="dxa"/>
            <w:tcBorders/>
            <w:shd w:fill="FFFFFF" w:val="clear"/>
            <w:vAlign w:val="center"/>
          </w:tcPr>
          <w:p>
            <w:pPr>
              <w:pStyle w:val="TableContents"/>
              <w:bidi w:val="0"/>
              <w:spacing w:before="0" w:after="283"/>
              <w:jc w:val="left"/>
              <w:rPr/>
            </w:pPr>
            <w:r>
              <w:rPr/>
              <w:t> </w:t>
            </w:r>
          </w:p>
        </w:tc>
      </w:tr>
      <w:tr>
        <w:trPr/>
        <w:tc>
          <w:tcPr>
            <w:tcW w:w="1697" w:type="dxa"/>
            <w:tcBorders/>
            <w:shd w:fill="CCEEFF" w:val="clear"/>
            <w:vAlign w:val="center"/>
          </w:tcPr>
          <w:p>
            <w:pPr>
              <w:pStyle w:val="TableContents"/>
              <w:bidi w:val="0"/>
              <w:spacing w:before="0" w:after="283"/>
              <w:jc w:val="left"/>
              <w:rPr/>
            </w:pPr>
            <w:r>
              <w:rPr/>
              <w:t>Issuance of ordinary shares in relation to the ATM, net of issuance costs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125,403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1,083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1,083</w:t>
            </w:r>
          </w:p>
        </w:tc>
        <w:tc>
          <w:tcPr>
            <w:tcW w:w="114" w:type="dxa"/>
            <w:tcBorders/>
            <w:shd w:fill="CCEEFF" w:val="clear"/>
            <w:vAlign w:val="center"/>
          </w:tcPr>
          <w:p>
            <w:pPr>
              <w:pStyle w:val="TableContents"/>
              <w:bidi w:val="0"/>
              <w:spacing w:before="0" w:after="283"/>
              <w:jc w:val="left"/>
              <w:rPr/>
            </w:pPr>
            <w:r>
              <w:rPr/>
              <w:t> </w:t>
            </w:r>
          </w:p>
        </w:tc>
      </w:tr>
      <w:tr>
        <w:trPr/>
        <w:tc>
          <w:tcPr>
            <w:tcW w:w="1697" w:type="dxa"/>
            <w:tcBorders/>
            <w:shd w:fill="FFFFFF" w:val="clear"/>
            <w:vAlign w:val="center"/>
          </w:tcPr>
          <w:p>
            <w:pPr>
              <w:pStyle w:val="TableContents"/>
              <w:bidi w:val="0"/>
              <w:spacing w:before="0" w:after="283"/>
              <w:jc w:val="left"/>
              <w:rPr/>
            </w:pPr>
            <w:r>
              <w:rPr/>
              <w:t>Vesting of restricted stock units (RSUs)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42,239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531</w:t>
            </w:r>
          </w:p>
        </w:tc>
        <w:tc>
          <w:tcPr>
            <w:tcW w:w="114" w:type="dxa"/>
            <w:tcBorders/>
            <w:shd w:fill="FFFFFF" w:val="clear"/>
            <w:vAlign w:val="center"/>
          </w:tcPr>
          <w:p>
            <w:pPr>
              <w:pStyle w:val="TableContents"/>
              <w:bidi w:val="0"/>
              <w:spacing w:before="0" w:after="283"/>
              <w:jc w:val="left"/>
              <w:rPr/>
            </w:pPr>
            <w:r>
              <w:rPr/>
              <w:t> </w:t>
            </w:r>
          </w:p>
        </w:tc>
      </w:tr>
      <w:tr>
        <w:trPr/>
        <w:tc>
          <w:tcPr>
            <w:tcW w:w="1697" w:type="dxa"/>
            <w:tcBorders/>
            <w:shd w:fill="CCEEFF" w:val="clear"/>
            <w:vAlign w:val="center"/>
          </w:tcPr>
          <w:p>
            <w:pPr>
              <w:pStyle w:val="TableContents"/>
              <w:bidi w:val="0"/>
              <w:spacing w:before="0" w:after="283"/>
              <w:jc w:val="left"/>
              <w:rPr/>
            </w:pPr>
            <w:r>
              <w:rPr/>
              <w:t>Share-based payment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25</w:t>
            </w:r>
          </w:p>
        </w:tc>
        <w:tc>
          <w:tcPr>
            <w:tcW w:w="114" w:type="dxa"/>
            <w:tcBorders/>
            <w:shd w:fill="CCEEFF" w:val="clear"/>
            <w:vAlign w:val="center"/>
          </w:tcPr>
          <w:p>
            <w:pPr>
              <w:pStyle w:val="TableContents"/>
              <w:bidi w:val="0"/>
              <w:spacing w:before="0" w:after="283"/>
              <w:jc w:val="left"/>
              <w:rPr/>
            </w:pPr>
            <w:r>
              <w:rPr/>
              <w:t> </w:t>
            </w:r>
          </w:p>
        </w:tc>
      </w:tr>
      <w:tr>
        <w:trPr/>
        <w:tc>
          <w:tcPr>
            <w:tcW w:w="169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1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single" w:sz="8" w:space="0" w:color="000000"/>
            </w:tcBorders>
            <w:shd w:fill="FFFFFF" w:val="clear"/>
            <w:tcMar>
              <w:bottom w:w="28" w:type="dxa"/>
            </w:tcMar>
            <w:vAlign w:val="center"/>
          </w:tcPr>
          <w:p>
            <w:pPr>
              <w:pStyle w:val="TableContents"/>
              <w:bidi w:val="0"/>
              <w:spacing w:before="0" w:after="283"/>
              <w:jc w:val="right"/>
              <w:rPr/>
            </w:pPr>
            <w:r>
              <w:rPr/>
              <w:t>(7,255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2" w:type="dxa"/>
            <w:tcBorders>
              <w:bottom w:val="single" w:sz="8" w:space="0" w:color="000000"/>
            </w:tcBorders>
            <w:shd w:fill="FFFFFF" w:val="clear"/>
            <w:tcMar>
              <w:bottom w:w="28" w:type="dxa"/>
            </w:tcMar>
            <w:vAlign w:val="center"/>
          </w:tcPr>
          <w:p>
            <w:pPr>
              <w:pStyle w:val="TableContents"/>
              <w:bidi w:val="0"/>
              <w:spacing w:before="0" w:after="283"/>
              <w:jc w:val="right"/>
              <w:rPr/>
            </w:pPr>
            <w:r>
              <w:rPr/>
              <w:t>(7,255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pPr>
            <w:r>
              <w:rPr/>
              <w:t>(55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pPr>
            <w:r>
              <w:rPr/>
              <w:t>(7,310</w:t>
            </w:r>
          </w:p>
        </w:tc>
        <w:tc>
          <w:tcPr>
            <w:tcW w:w="114" w:type="dxa"/>
            <w:tcBorders/>
            <w:shd w:fill="FFFFFF" w:val="clear"/>
            <w:vAlign w:val="center"/>
          </w:tcPr>
          <w:p>
            <w:pPr>
              <w:pStyle w:val="TableContents"/>
              <w:bidi w:val="0"/>
              <w:spacing w:before="0" w:after="283"/>
              <w:jc w:val="left"/>
              <w:rPr/>
            </w:pPr>
            <w:r>
              <w:rPr/>
              <w:t>)</w:t>
            </w:r>
          </w:p>
        </w:tc>
      </w:tr>
      <w:tr>
        <w:trPr/>
        <w:tc>
          <w:tcPr>
            <w:tcW w:w="1697" w:type="dxa"/>
            <w:tcBorders/>
            <w:shd w:fill="CCEEFF" w:val="clear"/>
            <w:vAlign w:val="center"/>
          </w:tcPr>
          <w:p>
            <w:pPr>
              <w:pStyle w:val="TableContents"/>
              <w:bidi w:val="0"/>
              <w:spacing w:before="0" w:after="283"/>
              <w:jc w:val="left"/>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double" w:sz="6" w:space="0" w:color="000000"/>
            </w:tcBorders>
            <w:shd w:fill="CCEEFF" w:val="clear"/>
            <w:tcMar>
              <w:bottom w:w="28" w:type="dxa"/>
            </w:tcMar>
            <w:vAlign w:val="center"/>
          </w:tcPr>
          <w:p>
            <w:pPr>
              <w:pStyle w:val="TableContents"/>
              <w:bidi w:val="0"/>
              <w:spacing w:before="0" w:after="283"/>
              <w:jc w:val="right"/>
              <w:rPr/>
            </w:pPr>
            <w:r>
              <w:rPr/>
              <w:t>2,281,329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1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6" w:space="0" w:color="000000"/>
            </w:tcBorders>
            <w:shd w:fill="CCEEFF" w:val="clear"/>
            <w:tcMar>
              <w:bottom w:w="28" w:type="dxa"/>
            </w:tcMar>
            <w:vAlign w:val="center"/>
          </w:tcPr>
          <w:p>
            <w:pPr>
              <w:pStyle w:val="TableContents"/>
              <w:bidi w:val="0"/>
              <w:spacing w:before="0" w:after="283"/>
              <w:jc w:val="right"/>
              <w:rPr/>
            </w:pPr>
            <w:r>
              <w:rPr/>
              <w:t>130,816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double" w:sz="6" w:space="0" w:color="000000"/>
            </w:tcBorders>
            <w:shd w:fill="CCEEFF" w:val="clear"/>
            <w:tcMar>
              <w:bottom w:w="28" w:type="dxa"/>
            </w:tcMar>
            <w:vAlign w:val="center"/>
          </w:tcPr>
          <w:p>
            <w:pPr>
              <w:pStyle w:val="TableContents"/>
              <w:bidi w:val="0"/>
              <w:spacing w:before="0" w:after="283"/>
              <w:jc w:val="right"/>
              <w:rPr/>
            </w:pPr>
            <w:r>
              <w:rPr/>
              <w:t>(115,025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2" w:type="dxa"/>
            <w:tcBorders>
              <w:bottom w:val="double" w:sz="6" w:space="0" w:color="000000"/>
            </w:tcBorders>
            <w:shd w:fill="CCEEFF" w:val="clear"/>
            <w:tcMar>
              <w:bottom w:w="28" w:type="dxa"/>
            </w:tcMar>
            <w:vAlign w:val="center"/>
          </w:tcPr>
          <w:p>
            <w:pPr>
              <w:pStyle w:val="TableContents"/>
              <w:bidi w:val="0"/>
              <w:spacing w:before="0" w:after="283"/>
              <w:jc w:val="right"/>
              <w:rPr/>
            </w:pPr>
            <w:r>
              <w:rPr/>
              <w:t>15,791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pPr>
            <w:r>
              <w:rPr/>
              <w:t>15,791</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67"/>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Issuance costs in the amount of approximately $41.</w:t>
      </w:r>
    </w:p>
    <w:p>
      <w:pPr>
        <w:pStyle w:val="TextBody"/>
        <w:bidi w:val="0"/>
        <w:spacing w:before="0" w:after="0"/>
        <w:ind w:left="0" w:right="0" w:firstLine="567"/>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Rail Vision Ltd.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UNAUDITED INTERIM CONDENSED CONSOLIDATED STATEMENTS OF CHANGES IN SHAREHOLDERS’ EQUITY (Cont.)</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data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38"/>
        <w:gridCol w:w="60"/>
        <w:gridCol w:w="62"/>
        <w:gridCol w:w="1025"/>
        <w:gridCol w:w="60"/>
        <w:gridCol w:w="60"/>
        <w:gridCol w:w="96"/>
        <w:gridCol w:w="419"/>
        <w:gridCol w:w="60"/>
        <w:gridCol w:w="60"/>
        <w:gridCol w:w="76"/>
        <w:gridCol w:w="1024"/>
        <w:gridCol w:w="60"/>
        <w:gridCol w:w="60"/>
        <w:gridCol w:w="87"/>
        <w:gridCol w:w="1283"/>
        <w:gridCol w:w="95"/>
        <w:gridCol w:w="60"/>
        <w:gridCol w:w="73"/>
        <w:gridCol w:w="835"/>
        <w:gridCol w:w="112"/>
      </w:tblGrid>
      <w:tr>
        <w:trPr/>
        <w:tc>
          <w:tcPr>
            <w:tcW w:w="4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2"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Ordinary 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4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center"/>
          </w:tcPr>
          <w:p>
            <w:pPr>
              <w:pStyle w:val="TableContents"/>
              <w:bidi w:val="0"/>
              <w:jc w:val="center"/>
              <w:rPr>
                <w:b/>
              </w:rPr>
            </w:pPr>
            <w:r>
              <w:rPr>
                <w:b/>
              </w:rPr>
              <w:t>Number of</w:t>
            </w:r>
          </w:p>
          <w:p>
            <w:pPr>
              <w:pStyle w:val="TableContents"/>
              <w:bidi w:val="0"/>
              <w:spacing w:before="0" w:after="283"/>
              <w:jc w:val="center"/>
              <w:rPr>
                <w:b/>
              </w:rPr>
            </w:pPr>
            <w:r>
              <w:rPr>
                <w:b/>
              </w:rPr>
              <w:t>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jc w:val="center"/>
              <w:rPr>
                <w:b/>
              </w:rPr>
            </w:pPr>
            <w:r>
              <w:rPr>
                <w:b/>
              </w:rPr>
              <w:t>paid in</w:t>
            </w:r>
          </w:p>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jc w:val="center"/>
              <w:rPr>
                <w:b/>
              </w:rPr>
            </w:pPr>
            <w:r>
              <w:rPr>
                <w:b/>
              </w:rPr>
              <w:t>Accumulated</w:t>
            </w:r>
          </w:p>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112" w:type="dxa"/>
            <w:tcBorders/>
            <w:vAlign w:val="center"/>
          </w:tcPr>
          <w:p>
            <w:pPr>
              <w:pStyle w:val="TableContents"/>
              <w:bidi w:val="0"/>
              <w:spacing w:before="0" w:after="283"/>
              <w:jc w:val="left"/>
              <w:rPr/>
            </w:pPr>
            <w:r>
              <w:rPr/>
              <w:t> </w:t>
            </w:r>
          </w:p>
        </w:tc>
      </w:tr>
      <w:tr>
        <w:trPr/>
        <w:tc>
          <w:tcPr>
            <w:tcW w:w="4538" w:type="dxa"/>
            <w:tcBorders/>
            <w:shd w:fill="CCEEFF" w:val="clear"/>
            <w:vAlign w:val="center"/>
          </w:tcPr>
          <w:p>
            <w:pPr>
              <w:pStyle w:val="TableContents"/>
              <w:bidi w:val="0"/>
              <w:spacing w:before="0" w:after="283"/>
              <w:jc w:val="left"/>
              <w:rPr>
                <w:b/>
              </w:rPr>
            </w:pPr>
            <w:r>
              <w:rPr>
                <w:b/>
              </w:rPr>
              <w:t>Balance as of January 1, 2025</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1,264,757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114,372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(96,670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17,702</w:t>
            </w:r>
          </w:p>
        </w:tc>
        <w:tc>
          <w:tcPr>
            <w:tcW w:w="112" w:type="dxa"/>
            <w:tcBorders/>
            <w:shd w:fill="CCEEFF" w:val="clear"/>
            <w:vAlign w:val="center"/>
          </w:tcPr>
          <w:p>
            <w:pPr>
              <w:pStyle w:val="TableContents"/>
              <w:bidi w:val="0"/>
              <w:spacing w:before="0" w:after="283"/>
              <w:jc w:val="left"/>
              <w:rPr/>
            </w:pPr>
            <w:r>
              <w:rPr/>
              <w:t> </w:t>
            </w:r>
          </w:p>
        </w:tc>
      </w:tr>
      <w:tr>
        <w:trPr/>
        <w:tc>
          <w:tcPr>
            <w:tcW w:w="4538" w:type="dxa"/>
            <w:tcBorders/>
            <w:shd w:fill="FFFFFF" w:val="clear"/>
            <w:vAlign w:val="center"/>
          </w:tcPr>
          <w:p>
            <w:pPr>
              <w:pStyle w:val="TableContents"/>
              <w:bidi w:val="0"/>
              <w:spacing w:before="0" w:after="283"/>
              <w:jc w:val="left"/>
              <w:rPr/>
            </w:pPr>
            <w:r>
              <w:rPr/>
              <w:t>Issuance of shares as a result of exercise of warrants, net of issuance costs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198,333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2,307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2,307</w:t>
            </w:r>
          </w:p>
        </w:tc>
        <w:tc>
          <w:tcPr>
            <w:tcW w:w="112" w:type="dxa"/>
            <w:tcBorders/>
            <w:shd w:fill="FFFFFF" w:val="clear"/>
            <w:vAlign w:val="center"/>
          </w:tcPr>
          <w:p>
            <w:pPr>
              <w:pStyle w:val="TableContents"/>
              <w:bidi w:val="0"/>
              <w:spacing w:before="0" w:after="283"/>
              <w:jc w:val="left"/>
              <w:rPr/>
            </w:pPr>
            <w:r>
              <w:rPr/>
              <w:t> </w:t>
            </w:r>
          </w:p>
        </w:tc>
      </w:tr>
      <w:tr>
        <w:trPr/>
        <w:tc>
          <w:tcPr>
            <w:tcW w:w="4538" w:type="dxa"/>
            <w:tcBorders/>
            <w:shd w:fill="CCEEFF" w:val="clear"/>
            <w:vAlign w:val="center"/>
          </w:tcPr>
          <w:p>
            <w:pPr>
              <w:pStyle w:val="TableContents"/>
              <w:bidi w:val="0"/>
              <w:spacing w:before="0" w:after="283"/>
              <w:jc w:val="left"/>
              <w:rPr/>
            </w:pPr>
            <w:r>
              <w:rPr/>
              <w:t>Restricted Share Units vesting</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35,600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390</w:t>
            </w:r>
          </w:p>
        </w:tc>
        <w:tc>
          <w:tcPr>
            <w:tcW w:w="112" w:type="dxa"/>
            <w:tcBorders/>
            <w:shd w:fill="CCEEFF" w:val="clear"/>
            <w:vAlign w:val="center"/>
          </w:tcPr>
          <w:p>
            <w:pPr>
              <w:pStyle w:val="TableContents"/>
              <w:bidi w:val="0"/>
              <w:spacing w:before="0" w:after="283"/>
              <w:jc w:val="left"/>
              <w:rPr/>
            </w:pPr>
            <w:r>
              <w:rPr/>
              <w:t> </w:t>
            </w:r>
          </w:p>
        </w:tc>
      </w:tr>
      <w:tr>
        <w:trPr/>
        <w:tc>
          <w:tcPr>
            <w:tcW w:w="4538" w:type="dxa"/>
            <w:tcBorders/>
            <w:shd w:fill="FFFFFF" w:val="clear"/>
            <w:vAlign w:val="center"/>
          </w:tcPr>
          <w:p>
            <w:pPr>
              <w:pStyle w:val="TableContents"/>
              <w:bidi w:val="0"/>
              <w:spacing w:before="0" w:after="283"/>
              <w:jc w:val="left"/>
              <w:rPr/>
            </w:pPr>
            <w:r>
              <w:rPr/>
              <w:t>Issuance of ordinary shares in relation to the SEPA</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269,810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7,917</w:t>
            </w:r>
          </w:p>
        </w:tc>
        <w:tc>
          <w:tcPr>
            <w:tcW w:w="112" w:type="dxa"/>
            <w:tcBorders/>
            <w:shd w:fill="FFFFFF" w:val="clear"/>
            <w:vAlign w:val="center"/>
          </w:tcPr>
          <w:p>
            <w:pPr>
              <w:pStyle w:val="TableContents"/>
              <w:bidi w:val="0"/>
              <w:spacing w:before="0" w:after="283"/>
              <w:jc w:val="left"/>
              <w:rPr/>
            </w:pPr>
            <w:r>
              <w:rPr/>
              <w:t> </w:t>
            </w:r>
          </w:p>
        </w:tc>
      </w:tr>
      <w:tr>
        <w:trPr/>
        <w:tc>
          <w:tcPr>
            <w:tcW w:w="4538" w:type="dxa"/>
            <w:tcBorders/>
            <w:shd w:fill="CCEEFF" w:val="clear"/>
            <w:vAlign w:val="center"/>
          </w:tcPr>
          <w:p>
            <w:pPr>
              <w:pStyle w:val="TableContents"/>
              <w:bidi w:val="0"/>
              <w:spacing w:before="0" w:after="283"/>
              <w:jc w:val="left"/>
              <w:rPr/>
            </w:pPr>
            <w:r>
              <w:rPr/>
              <w:t>Issuance of ordinary shares under ATM program, net of issuance costs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10,300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18</w:t>
            </w:r>
          </w:p>
        </w:tc>
        <w:tc>
          <w:tcPr>
            <w:tcW w:w="112" w:type="dxa"/>
            <w:tcBorders/>
            <w:shd w:fill="CCEEFF" w:val="clear"/>
            <w:vAlign w:val="center"/>
          </w:tcPr>
          <w:p>
            <w:pPr>
              <w:pStyle w:val="TableContents"/>
              <w:bidi w:val="0"/>
              <w:spacing w:before="0" w:after="283"/>
              <w:jc w:val="left"/>
              <w:rPr/>
            </w:pPr>
            <w:r>
              <w:rPr/>
              <w:t> </w:t>
            </w:r>
          </w:p>
        </w:tc>
      </w:tr>
      <w:tr>
        <w:trPr/>
        <w:tc>
          <w:tcPr>
            <w:tcW w:w="4538" w:type="dxa"/>
            <w:tcBorders/>
            <w:shd w:fill="FFFFFF" w:val="clear"/>
            <w:vAlign w:val="center"/>
          </w:tcPr>
          <w:p>
            <w:pPr>
              <w:pStyle w:val="TableContents"/>
              <w:bidi w:val="0"/>
              <w:spacing w:before="0" w:after="283"/>
              <w:jc w:val="left"/>
              <w:rPr/>
            </w:pPr>
            <w:r>
              <w:rPr/>
              <w:t>Share-based payment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39</w:t>
            </w:r>
          </w:p>
        </w:tc>
        <w:tc>
          <w:tcPr>
            <w:tcW w:w="112" w:type="dxa"/>
            <w:tcBorders/>
            <w:shd w:fill="FFFFFF" w:val="clear"/>
            <w:vAlign w:val="center"/>
          </w:tcPr>
          <w:p>
            <w:pPr>
              <w:pStyle w:val="TableContents"/>
              <w:bidi w:val="0"/>
              <w:spacing w:before="0" w:after="283"/>
              <w:jc w:val="left"/>
              <w:rPr/>
            </w:pPr>
            <w:r>
              <w:rPr/>
              <w:t> </w:t>
            </w:r>
          </w:p>
        </w:tc>
      </w:tr>
      <w:tr>
        <w:trPr/>
        <w:tc>
          <w:tcPr>
            <w:tcW w:w="4538" w:type="dxa"/>
            <w:tcBorders/>
            <w:shd w:fill="CCEEFF" w:val="clear"/>
            <w:vAlign w:val="center"/>
          </w:tcPr>
          <w:p>
            <w:pPr>
              <w:pStyle w:val="TableContents"/>
              <w:bidi w:val="0"/>
              <w:spacing w:before="0" w:after="283"/>
              <w:jc w:val="left"/>
              <w:rPr/>
            </w:pPr>
            <w:r>
              <w:rPr/>
              <w:t>Net loss for the period</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(5,679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pPr>
            <w:r>
              <w:rPr/>
              <w:t>(5,679</w:t>
            </w:r>
          </w:p>
        </w:tc>
        <w:tc>
          <w:tcPr>
            <w:tcW w:w="112" w:type="dxa"/>
            <w:tcBorders/>
            <w:shd w:fill="CCEEFF" w:val="clear"/>
            <w:vAlign w:val="center"/>
          </w:tcPr>
          <w:p>
            <w:pPr>
              <w:pStyle w:val="TableContents"/>
              <w:bidi w:val="0"/>
              <w:spacing w:before="0" w:after="283"/>
              <w:jc w:val="left"/>
              <w:rPr/>
            </w:pPr>
            <w:r>
              <w:rPr/>
              <w:t>)</w:t>
            </w:r>
          </w:p>
        </w:tc>
      </w:tr>
      <w:tr>
        <w:trPr/>
        <w:tc>
          <w:tcPr>
            <w:tcW w:w="45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538" w:type="dxa"/>
            <w:tcBorders/>
            <w:shd w:fill="CCEEFF" w:val="clear"/>
            <w:vAlign w:val="center"/>
          </w:tcPr>
          <w:p>
            <w:pPr>
              <w:pStyle w:val="TableContents"/>
              <w:bidi w:val="0"/>
              <w:spacing w:before="0" w:after="283"/>
              <w:jc w:val="left"/>
              <w:rPr>
                <w:b/>
              </w:rPr>
            </w:pPr>
            <w:r>
              <w:rPr>
                <w:b/>
              </w:rPr>
              <w:t>Balance as of June 30, 2025</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pPr>
            <w:r>
              <w:rPr/>
              <w:t>1,778,800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1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6" w:space="0" w:color="000000"/>
            </w:tcBorders>
            <w:shd w:fill="CCEEFF" w:val="clear"/>
            <w:tcMar>
              <w:bottom w:w="28" w:type="dxa"/>
            </w:tcMar>
            <w:vAlign w:val="center"/>
          </w:tcPr>
          <w:p>
            <w:pPr>
              <w:pStyle w:val="TableContents"/>
              <w:bidi w:val="0"/>
              <w:spacing w:before="0" w:after="283"/>
              <w:jc w:val="right"/>
              <w:rPr/>
            </w:pPr>
            <w:r>
              <w:rPr/>
              <w:t>125,043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pPr>
            <w:r>
              <w:rPr/>
              <w:t>(102,349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5" w:type="dxa"/>
            <w:tcBorders>
              <w:bottom w:val="double" w:sz="6" w:space="0" w:color="000000"/>
            </w:tcBorders>
            <w:shd w:fill="CCEEFF" w:val="clear"/>
            <w:tcMar>
              <w:bottom w:w="28" w:type="dxa"/>
            </w:tcMar>
            <w:vAlign w:val="center"/>
          </w:tcPr>
          <w:p>
            <w:pPr>
              <w:pStyle w:val="TableContents"/>
              <w:bidi w:val="0"/>
              <w:spacing w:before="0" w:after="283"/>
              <w:jc w:val="right"/>
              <w:rPr/>
            </w:pPr>
            <w:r>
              <w:rPr/>
              <w:t>22,694</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Retroactively adjusted to reflect a reverse share split of the Company’s ordinary shares effected on February 4,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Issuance costs in the amount of approximately $121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Issuance costs in the amount of approximately $111.</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UNAUDITED INTERIM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w:t>
      </w:r>
    </w:p>
    <w:p>
      <w:pPr>
        <w:pStyle w:val="TextBody"/>
        <w:bidi w:val="0"/>
        <w:spacing w:before="0" w:after="0"/>
        <w:ind w:left="1134" w:right="0" w:hanging="1134"/>
        <w:jc w:val="center"/>
        <w:rPr>
          <w:caps w:val="false"/>
          <w:smallCaps w:val="false"/>
        </w:rPr>
      </w:pPr>
      <w:r>
        <w:rPr>
          <w:caps w:val="false"/>
          <w:smallCaps w:val="false"/>
        </w:rPr>
        <w:t> </w:t>
      </w:r>
    </w:p>
    <w:tbl>
      <w:tblPr>
        <w:tblW w:w="9823" w:type="dxa"/>
        <w:jc w:val="left"/>
        <w:tblInd w:w="0" w:type="dxa"/>
        <w:tblLayout w:type="fixed"/>
        <w:tblCellMar>
          <w:top w:w="0" w:type="dxa"/>
          <w:left w:w="0" w:type="dxa"/>
          <w:bottom w:w="0" w:type="dxa"/>
          <w:right w:w="0" w:type="dxa"/>
        </w:tblCellMar>
      </w:tblPr>
      <w:tblGrid>
        <w:gridCol w:w="6920"/>
        <w:gridCol w:w="60"/>
        <w:gridCol w:w="213"/>
        <w:gridCol w:w="1036"/>
        <w:gridCol w:w="144"/>
        <w:gridCol w:w="91"/>
        <w:gridCol w:w="213"/>
        <w:gridCol w:w="1036"/>
        <w:gridCol w:w="110"/>
      </w:tblGrid>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u w:val="single"/>
              </w:rPr>
            </w:pPr>
            <w:r>
              <w:rPr>
                <w:b/>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Net loss for the period</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1036" w:type="dxa"/>
            <w:tcBorders/>
            <w:shd w:fill="FFFFFF" w:val="clear"/>
            <w:vAlign w:val="center"/>
          </w:tcPr>
          <w:p>
            <w:pPr>
              <w:pStyle w:val="TableContents"/>
              <w:bidi w:val="0"/>
              <w:spacing w:before="0" w:after="283"/>
              <w:jc w:val="right"/>
              <w:rPr/>
            </w:pPr>
            <w:r>
              <w:rPr/>
              <w:t>(7,310</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1036" w:type="dxa"/>
            <w:tcBorders/>
            <w:shd w:fill="FFFFFF" w:val="clear"/>
            <w:vAlign w:val="center"/>
          </w:tcPr>
          <w:p>
            <w:pPr>
              <w:pStyle w:val="TableContents"/>
              <w:bidi w:val="0"/>
              <w:spacing w:before="0" w:after="283"/>
              <w:jc w:val="right"/>
              <w:rPr/>
            </w:pPr>
            <w:r>
              <w:rPr/>
              <w:t>(5,679</w:t>
            </w:r>
          </w:p>
        </w:tc>
        <w:tc>
          <w:tcPr>
            <w:tcW w:w="110"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u w:val="single"/>
              </w:rPr>
            </w:pPr>
            <w:r>
              <w:rPr>
                <w:b/>
                <w:u w:val="single"/>
              </w:rPr>
              <w:t>Adjustments to reconcile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65</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59</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Share-based payment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556</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429</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Change in operating lease liability</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(5</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42</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Write-off of acquired in-process research and development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1,028</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(390</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(128</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Revaluation of derivatives, warrant liabilities and other</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380</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Decrease (increase) in accounts receivables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(267</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400</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Increase in other current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(199</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(39</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Decrease (increase) in inventories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609</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(126</w:t>
            </w:r>
          </w:p>
        </w:tc>
        <w:tc>
          <w:tcPr>
            <w:tcW w:w="110"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Decrease in trade accounts payable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(99</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Increase (decrease) in other accounts payable</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(201</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(6,213</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(4,661</w:t>
            </w:r>
          </w:p>
        </w:tc>
        <w:tc>
          <w:tcPr>
            <w:tcW w:w="110"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u w:val="single"/>
              </w:rPr>
            </w:pPr>
            <w:r>
              <w:rPr>
                <w:b/>
                <w:u w:val="single"/>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Purchase of fixed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(71</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Cash acquired upon initial consolidation of subsidiary, net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163</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rPr>
            </w:pPr>
            <w:r>
              <w:rPr>
                <w:b/>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92</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110"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u w:val="single"/>
              </w:rPr>
            </w:pPr>
            <w:r>
              <w:rPr>
                <w:b/>
                <w:u w:val="single"/>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Proceeds from a convertible loan credit facility and issuance of warrants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Payments on convertible loan credit facility</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Proceeds from exercise of warrants, net of issuance expenses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2,204</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Proceeds from issuance of shares and warrants, net of issuance expenses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1,083</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7,555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1,083</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9,759</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390</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128</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b/>
              </w:rPr>
            </w:pPr>
            <w:r>
              <w:rPr>
                <w:b/>
              </w:rPr>
              <w:t>(4,648</w:t>
            </w:r>
          </w:p>
        </w:tc>
        <w:tc>
          <w:tcPr>
            <w:tcW w:w="144" w:type="dxa"/>
            <w:tcBorders/>
            <w:shd w:fill="CCEEFF" w:val="clear"/>
            <w:vAlign w:val="center"/>
          </w:tcPr>
          <w:p>
            <w:pPr>
              <w:pStyle w:val="TableContents"/>
              <w:bidi w:val="0"/>
              <w:spacing w:before="0" w:after="283"/>
              <w:jc w:val="left"/>
              <w:rPr>
                <w:b/>
              </w:rPr>
            </w:pPr>
            <w:r>
              <w:rPr>
                <w:b/>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b/>
              </w:rPr>
            </w:pPr>
            <w:r>
              <w:rPr>
                <w:b/>
              </w:rPr>
              <w:t>5,216</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Cash, cash equivalents and restricted cash at the beginning of the period</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20,229</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17,468</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rPr>
            </w:pPr>
            <w:r>
              <w:rPr>
                <w:b/>
              </w:rPr>
              <w:t>Cash, cash equivalents and restricted cash at the end of the period</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15,581</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22,684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GAAP TO NON-GAAP Financial Measures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data and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24"/>
        <w:gridCol w:w="60"/>
        <w:gridCol w:w="152"/>
        <w:gridCol w:w="1068"/>
        <w:gridCol w:w="103"/>
        <w:gridCol w:w="65"/>
        <w:gridCol w:w="152"/>
        <w:gridCol w:w="1068"/>
        <w:gridCol w:w="113"/>
      </w:tblGrid>
      <w:tr>
        <w:trPr/>
        <w:tc>
          <w:tcPr>
            <w:tcW w:w="7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3" w:type="dxa"/>
            <w:tcBorders/>
            <w:vAlign w:val="center"/>
          </w:tcPr>
          <w:p>
            <w:pPr>
              <w:pStyle w:val="TableContents"/>
              <w:bidi w:val="0"/>
              <w:spacing w:before="0" w:after="283"/>
              <w:jc w:val="left"/>
              <w:rPr/>
            </w:pPr>
            <w:r>
              <w:rPr/>
              <w:t> </w:t>
            </w:r>
          </w:p>
        </w:tc>
      </w:tr>
      <w:tr>
        <w:trPr/>
        <w:tc>
          <w:tcPr>
            <w:tcW w:w="7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7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b/>
              </w:rPr>
            </w:pPr>
            <w:r>
              <w:rPr>
                <w:b/>
              </w:rPr>
              <w:t>GAAP operating loss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(8,029</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(5,705</w:t>
            </w:r>
          </w:p>
        </w:tc>
        <w:tc>
          <w:tcPr>
            <w:tcW w:w="113" w:type="dxa"/>
            <w:tcBorders/>
            <w:shd w:fill="CCEEFF" w:val="clear"/>
            <w:vAlign w:val="center"/>
          </w:tcPr>
          <w:p>
            <w:pPr>
              <w:pStyle w:val="TableContents"/>
              <w:bidi w:val="0"/>
              <w:spacing w:before="0" w:after="283"/>
              <w:jc w:val="left"/>
              <w:rPr/>
            </w:pPr>
            <w:r>
              <w:rPr/>
              <w:t>)</w:t>
            </w:r>
          </w:p>
        </w:tc>
      </w:tr>
      <w:tr>
        <w:trPr/>
        <w:tc>
          <w:tcPr>
            <w:tcW w:w="7424" w:type="dxa"/>
            <w:tcBorders/>
            <w:shd w:fill="FFFFFF" w:val="clear"/>
            <w:vAlign w:val="center"/>
          </w:tcPr>
          <w:p>
            <w:pPr>
              <w:pStyle w:val="TableContents"/>
              <w:bidi w:val="0"/>
              <w:spacing w:before="0" w:after="283"/>
              <w:jc w:val="left"/>
              <w:rPr/>
            </w:pPr>
            <w:r>
              <w:rPr/>
              <w:t>Stock-based compensation in research and development expenses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248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220</w:t>
            </w:r>
          </w:p>
        </w:tc>
        <w:tc>
          <w:tcPr>
            <w:tcW w:w="113"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Stock-based compensation in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308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210</w:t>
            </w:r>
          </w:p>
        </w:tc>
        <w:tc>
          <w:tcPr>
            <w:tcW w:w="113"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b/>
              </w:rPr>
            </w:pPr>
            <w:r>
              <w:rPr>
                <w:b/>
              </w:rPr>
              <w:t>Non-GAAP operating loss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(7,473</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(5,275</w:t>
            </w:r>
          </w:p>
        </w:tc>
        <w:tc>
          <w:tcPr>
            <w:tcW w:w="113" w:type="dxa"/>
            <w:tcBorders/>
            <w:shd w:fill="FFFFFF" w:val="clear"/>
            <w:vAlign w:val="center"/>
          </w:tcPr>
          <w:p>
            <w:pPr>
              <w:pStyle w:val="TableContents"/>
              <w:bidi w:val="0"/>
              <w:spacing w:before="0" w:after="283"/>
              <w:jc w:val="left"/>
              <w:rPr/>
            </w:pPr>
            <w:r>
              <w:rPr/>
              <w:t>)</w:t>
            </w:r>
          </w:p>
        </w:tc>
      </w:tr>
      <w:tr>
        <w:trPr/>
        <w:tc>
          <w:tcPr>
            <w:tcW w:w="74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b/>
              </w:rPr>
            </w:pPr>
            <w:r>
              <w:rPr>
                <w:b/>
              </w:rPr>
              <w:t>GAAP Revaluation of derivatives, warrant liabilities and other</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(380</w:t>
            </w:r>
          </w:p>
        </w:tc>
        <w:tc>
          <w:tcPr>
            <w:tcW w:w="113" w:type="dxa"/>
            <w:tcBorders/>
            <w:shd w:fill="FFFFFF" w:val="clear"/>
            <w:vAlign w:val="center"/>
          </w:tcPr>
          <w:p>
            <w:pPr>
              <w:pStyle w:val="TableContents"/>
              <w:bidi w:val="0"/>
              <w:spacing w:before="0" w:after="283"/>
              <w:jc w:val="left"/>
              <w:rPr/>
            </w:pPr>
            <w:r>
              <w:rPr/>
              <w:t>)</w:t>
            </w:r>
          </w:p>
        </w:tc>
      </w:tr>
      <w:tr>
        <w:trPr/>
        <w:tc>
          <w:tcPr>
            <w:tcW w:w="7424" w:type="dxa"/>
            <w:tcBorders/>
            <w:shd w:fill="CCEEFF" w:val="clear"/>
            <w:vAlign w:val="center"/>
          </w:tcPr>
          <w:p>
            <w:pPr>
              <w:pStyle w:val="TableContents"/>
              <w:bidi w:val="0"/>
              <w:spacing w:before="0" w:after="283"/>
              <w:jc w:val="left"/>
              <w:rPr/>
            </w:pPr>
            <w:r>
              <w:rPr/>
              <w:t>Revaluation of derivatives, warrant liabilities and other</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380</w:t>
            </w:r>
          </w:p>
        </w:tc>
        <w:tc>
          <w:tcPr>
            <w:tcW w:w="113"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b/>
              </w:rPr>
            </w:pPr>
            <w:r>
              <w:rPr>
                <w:b/>
              </w:rPr>
              <w:t>Non-GAAP Revaluation of derivative warrant liabilities expenses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b/>
              </w:rPr>
            </w:pPr>
            <w:r>
              <w:rPr>
                <w:b/>
              </w:rPr>
              <w:t>GAAP net loss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(7,310</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(5,679</w:t>
            </w:r>
          </w:p>
        </w:tc>
        <w:tc>
          <w:tcPr>
            <w:tcW w:w="113" w:type="dxa"/>
            <w:tcBorders/>
            <w:shd w:fill="FFFFFF" w:val="clear"/>
            <w:vAlign w:val="center"/>
          </w:tcPr>
          <w:p>
            <w:pPr>
              <w:pStyle w:val="TableContents"/>
              <w:bidi w:val="0"/>
              <w:spacing w:before="0" w:after="283"/>
              <w:jc w:val="left"/>
              <w:rPr/>
            </w:pPr>
            <w:r>
              <w:rPr/>
              <w:t>)</w:t>
            </w:r>
          </w:p>
        </w:tc>
      </w:tr>
      <w:tr>
        <w:trPr/>
        <w:tc>
          <w:tcPr>
            <w:tcW w:w="7424" w:type="dxa"/>
            <w:tcBorders/>
            <w:shd w:fill="CCEEFF" w:val="clear"/>
            <w:vAlign w:val="center"/>
          </w:tcPr>
          <w:p>
            <w:pPr>
              <w:pStyle w:val="TableContents"/>
              <w:bidi w:val="0"/>
              <w:spacing w:before="0" w:after="283"/>
              <w:jc w:val="left"/>
              <w:rPr/>
            </w:pPr>
            <w:r>
              <w:rPr/>
              <w:t>Stock-based compensation expenses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556</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429</w:t>
            </w:r>
          </w:p>
        </w:tc>
        <w:tc>
          <w:tcPr>
            <w:tcW w:w="113"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Revaluation of derivatives, warrant liabilities and other</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pPr>
            <w:r>
              <w:rPr/>
              <w:t>380</w:t>
            </w:r>
          </w:p>
        </w:tc>
        <w:tc>
          <w:tcPr>
            <w:tcW w:w="113"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b/>
              </w:rPr>
            </w:pPr>
            <w:r>
              <w:rPr>
                <w:b/>
              </w:rPr>
              <w:t>Non-GAAP net loss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(6,754</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(4,870</w:t>
            </w:r>
          </w:p>
        </w:tc>
        <w:tc>
          <w:tcPr>
            <w:tcW w:w="113" w:type="dxa"/>
            <w:tcBorders/>
            <w:shd w:fill="CCEEFF" w:val="clear"/>
            <w:vAlign w:val="center"/>
          </w:tcPr>
          <w:p>
            <w:pPr>
              <w:pStyle w:val="TableContents"/>
              <w:bidi w:val="0"/>
              <w:spacing w:before="0" w:after="283"/>
              <w:jc w:val="left"/>
              <w:rPr/>
            </w:pPr>
            <w:r>
              <w:rPr/>
              <w:t>)</w:t>
            </w:r>
          </w:p>
        </w:tc>
      </w:tr>
      <w:tr>
        <w:trPr/>
        <w:tc>
          <w:tcPr>
            <w:tcW w:w="7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b/>
              </w:rPr>
            </w:pPr>
            <w:r>
              <w:rPr>
                <w:b/>
              </w:rPr>
              <w:t>GAAP Basic and diluted loss per share</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(3.30</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(3.38</w:t>
            </w:r>
          </w:p>
        </w:tc>
        <w:tc>
          <w:tcPr>
            <w:tcW w:w="113" w:type="dxa"/>
            <w:tcBorders/>
            <w:shd w:fill="CCEEFF" w:val="clear"/>
            <w:vAlign w:val="center"/>
          </w:tcPr>
          <w:p>
            <w:pPr>
              <w:pStyle w:val="TableContents"/>
              <w:bidi w:val="0"/>
              <w:spacing w:before="0" w:after="283"/>
              <w:jc w:val="left"/>
              <w:rPr/>
            </w:pPr>
            <w:r>
              <w:rPr/>
              <w:t>)</w:t>
            </w:r>
          </w:p>
        </w:tc>
      </w:tr>
      <w:tr>
        <w:trPr/>
        <w:tc>
          <w:tcPr>
            <w:tcW w:w="7424" w:type="dxa"/>
            <w:tcBorders/>
            <w:shd w:fill="FFFFFF" w:val="clear"/>
            <w:vAlign w:val="center"/>
          </w:tcPr>
          <w:p>
            <w:pPr>
              <w:pStyle w:val="TableContents"/>
              <w:bidi w:val="0"/>
              <w:spacing w:before="0" w:after="283"/>
              <w:jc w:val="left"/>
              <w:rPr>
                <w:b/>
              </w:rPr>
            </w:pPr>
            <w:r>
              <w:rPr>
                <w:b/>
              </w:rPr>
              <w:t>Non-GAAP Basic and diluted loss per share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(3.05</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(2.90</w:t>
            </w:r>
          </w:p>
        </w:tc>
        <w:tc>
          <w:tcPr>
            <w:tcW w:w="113" w:type="dxa"/>
            <w:tcBorders/>
            <w:shd w:fill="FFFFFF" w:val="clear"/>
            <w:vAlign w:val="center"/>
          </w:tcPr>
          <w:p>
            <w:pPr>
              <w:pStyle w:val="TableContents"/>
              <w:bidi w:val="0"/>
              <w:spacing w:before="0" w:after="283"/>
              <w:jc w:val="left"/>
              <w:rPr/>
            </w:pPr>
            <w:r>
              <w:rPr/>
              <w:t>)</w:t>
            </w:r>
          </w:p>
        </w:tc>
      </w:tr>
      <w:tr>
        <w:trPr/>
        <w:tc>
          <w:tcPr>
            <w:tcW w:w="74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b/>
              </w:rPr>
            </w:pPr>
            <w:r>
              <w:rPr>
                <w:b/>
              </w:rPr>
              <w:t>Weighted average number of shares outstanding used to compute basic and diluted loss per ordinary share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2,197,458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1,678,809</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center"/>
        <w:rPr>
          <w:caps w:val="false"/>
          <w:smallCaps w:val="false"/>
        </w:rPr>
      </w:pPr>
      <w:bookmarkStart w:id="12" w:name="ex99-2.htm"/>
      <w:bookmarkStart w:id="13" w:name="ksex992"/>
      <w:bookmarkEnd w:id="12"/>
      <w:bookmarkEnd w:id="1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Rail Vision Ltd.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u w:val="single"/>
                </w:rPr>
                <w:t>INTERIM CONDENSED CONSOLIDATED BALANCE SHEETS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u w:val="single"/>
                </w:rPr>
                <w:t>UNAUDITED INTERIM CONDENSED CONSOLIDATED STATEMENTS OF COMPREHENSIVE LOSS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u w:val="single"/>
                </w:rPr>
                <w:t>UNAUDITED INTERIM CONDENSED CONSOLIDATED STATEMENTS OF CHANGES IN SHAREHOLDERS’ EQUITY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u w:val="single"/>
                </w:rPr>
                <w:t>UNAUDITED INTERIM CONDENSED CONSOLIDATED STATEMENTS OF CASH FLOWS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u w:val="single"/>
                </w:rPr>
                <w:t>NOTES TO THE INTERIM CONDENSED CONSOLIDATED FINANCIAL STATEMENTS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4" w:name="sp_001"/>
      <w:bookmarkEnd w:id="14"/>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data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 w:name="xdx_30F_111_pn3n3_zbQkGay7Bw6a"/>
      <w:bookmarkStart w:id="16" w:name="xdx_30F_111_pn3n3_zbQkGay7Bw6a"/>
      <w:bookmarkEnd w:id="16"/>
    </w:p>
    <w:tbl>
      <w:tblPr>
        <w:tblW w:w="9008" w:type="dxa"/>
        <w:jc w:val="left"/>
        <w:tblInd w:w="0" w:type="dxa"/>
        <w:tblLayout w:type="fixed"/>
        <w:tblCellMar>
          <w:top w:w="0" w:type="dxa"/>
          <w:left w:w="0" w:type="dxa"/>
          <w:bottom w:w="0" w:type="dxa"/>
          <w:right w:w="0" w:type="dxa"/>
        </w:tblCellMar>
      </w:tblPr>
      <w:tblGrid>
        <w:gridCol w:w="5315"/>
        <w:gridCol w:w="60"/>
        <w:gridCol w:w="195"/>
        <w:gridCol w:w="1219"/>
        <w:gridCol w:w="95"/>
        <w:gridCol w:w="60"/>
        <w:gridCol w:w="268"/>
        <w:gridCol w:w="1686"/>
        <w:gridCol w:w="110"/>
      </w:tblGrid>
      <w:tr>
        <w:trPr/>
        <w:tc>
          <w:tcPr>
            <w:tcW w:w="53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7" w:name="xdx_496_20260630_z9VsZFG9m0W6"/>
            <w:bookmarkEnd w:id="17"/>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 w:name="xdx_494_20251231_zeC8AZ5uMorc"/>
            <w:bookmarkEnd w:id="18"/>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Audited</w:t>
            </w:r>
          </w:p>
        </w:tc>
        <w:tc>
          <w:tcPr>
            <w:tcW w:w="110" w:type="dxa"/>
            <w:tcBorders/>
            <w:vAlign w:val="center"/>
          </w:tcPr>
          <w:p>
            <w:pPr>
              <w:pStyle w:val="TableContents"/>
              <w:bidi w:val="0"/>
              <w:spacing w:before="0" w:after="283"/>
              <w:jc w:val="left"/>
              <w:rPr/>
            </w:pPr>
            <w:r>
              <w:rPr/>
              <w:t> </w:t>
            </w:r>
            <w:bookmarkStart w:id="19" w:name="xdx_40F_eus-gaap--AssetsAbstract_iB_zhVQ"/>
            <w:bookmarkEnd w:id="19"/>
          </w:p>
        </w:tc>
      </w:tr>
      <w:tr>
        <w:trPr/>
        <w:tc>
          <w:tcPr>
            <w:tcW w:w="5315" w:type="dxa"/>
            <w:tcBorders/>
            <w:shd w:fill="CCEEFF" w:val="clear"/>
            <w:vAlign w:val="center"/>
          </w:tcPr>
          <w:p>
            <w:pPr>
              <w:pStyle w:val="TableContents"/>
              <w:bidi w:val="0"/>
              <w:spacing w:before="0" w:after="283"/>
              <w:jc w:val="both"/>
              <w:rPr>
                <w:b/>
                <w:u w:val="single"/>
              </w:rPr>
            </w:pPr>
            <w:r>
              <w:rPr>
                <w:b/>
                <w:u w:val="single"/>
              </w:rPr>
              <w:t>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 w:name="xdx_406_eus-gaap--AssetsCurrentAbstract_"/>
            <w:bookmarkEnd w:id="20"/>
          </w:p>
        </w:tc>
      </w:tr>
      <w:tr>
        <w:trPr/>
        <w:tc>
          <w:tcPr>
            <w:tcW w:w="5315" w:type="dxa"/>
            <w:tcBorders/>
            <w:shd w:fill="CCEEFF" w:val="clear"/>
            <w:vAlign w:val="center"/>
          </w:tcPr>
          <w:p>
            <w:pPr>
              <w:pStyle w:val="TableContents"/>
              <w:bidi w:val="0"/>
              <w:spacing w:before="0" w:after="283"/>
              <w:jc w:val="both"/>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 w:name="xdx_405_eus-gaap--CashAndCashEquivalents"/>
            <w:bookmarkEnd w:id="21"/>
          </w:p>
        </w:tc>
      </w:tr>
      <w:tr>
        <w:trPr/>
        <w:tc>
          <w:tcPr>
            <w:tcW w:w="5315" w:type="dxa"/>
            <w:tcBorders/>
            <w:shd w:fill="FFFFFF" w:val="clear"/>
            <w:vAlign w:val="center"/>
          </w:tcPr>
          <w:p>
            <w:pPr>
              <w:pStyle w:val="TableContents"/>
              <w:bidi w:val="0"/>
              <w:spacing w:before="0" w:after="283"/>
              <w:jc w:val="both"/>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1219" w:type="dxa"/>
            <w:tcBorders/>
            <w:shd w:fill="FFFFFF" w:val="clear"/>
            <w:vAlign w:val="center"/>
          </w:tcPr>
          <w:p>
            <w:pPr>
              <w:pStyle w:val="TableContents"/>
              <w:bidi w:val="0"/>
              <w:spacing w:before="0" w:after="283"/>
              <w:jc w:val="right"/>
              <w:rPr/>
            </w:pPr>
            <w:r>
              <w:rPr/>
              <w:t>15,314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w:t>
            </w:r>
          </w:p>
        </w:tc>
        <w:tc>
          <w:tcPr>
            <w:tcW w:w="1686" w:type="dxa"/>
            <w:tcBorders/>
            <w:shd w:fill="FFFFFF" w:val="clear"/>
            <w:vAlign w:val="center"/>
          </w:tcPr>
          <w:p>
            <w:pPr>
              <w:pStyle w:val="TableContents"/>
              <w:bidi w:val="0"/>
              <w:spacing w:before="0" w:after="283"/>
              <w:jc w:val="right"/>
              <w:rPr/>
            </w:pPr>
            <w:r>
              <w:rPr/>
              <w:t>19,957</w:t>
            </w:r>
          </w:p>
        </w:tc>
        <w:tc>
          <w:tcPr>
            <w:tcW w:w="110" w:type="dxa"/>
            <w:tcBorders/>
            <w:shd w:fill="FFFFFF" w:val="clear"/>
            <w:vAlign w:val="center"/>
          </w:tcPr>
          <w:p>
            <w:pPr>
              <w:pStyle w:val="TableContents"/>
              <w:bidi w:val="0"/>
              <w:spacing w:before="0" w:after="283"/>
              <w:jc w:val="left"/>
              <w:rPr/>
            </w:pPr>
            <w:r>
              <w:rPr/>
              <w:t> </w:t>
            </w:r>
            <w:bookmarkStart w:id="22" w:name="xdx_400_eus-gaap--RestrictedCashCurrent_"/>
            <w:bookmarkEnd w:id="22"/>
          </w:p>
        </w:tc>
      </w:tr>
      <w:tr>
        <w:trPr/>
        <w:tc>
          <w:tcPr>
            <w:tcW w:w="5315" w:type="dxa"/>
            <w:tcBorders/>
            <w:shd w:fill="CCEEFF" w:val="clear"/>
            <w:vAlign w:val="center"/>
          </w:tcPr>
          <w:p>
            <w:pPr>
              <w:pStyle w:val="TableContents"/>
              <w:bidi w:val="0"/>
              <w:spacing w:before="0" w:after="283"/>
              <w:jc w:val="both"/>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272</w:t>
            </w:r>
          </w:p>
        </w:tc>
        <w:tc>
          <w:tcPr>
            <w:tcW w:w="110" w:type="dxa"/>
            <w:tcBorders/>
            <w:shd w:fill="CCEEFF" w:val="clear"/>
            <w:vAlign w:val="center"/>
          </w:tcPr>
          <w:p>
            <w:pPr>
              <w:pStyle w:val="TableContents"/>
              <w:bidi w:val="0"/>
              <w:spacing w:before="0" w:after="283"/>
              <w:jc w:val="left"/>
              <w:rPr/>
            </w:pPr>
            <w:r>
              <w:rPr/>
              <w:t> </w:t>
            </w:r>
            <w:bookmarkStart w:id="23" w:name="xdx_409_eus-gaap--AccountsReceivableNetC"/>
            <w:bookmarkEnd w:id="23"/>
          </w:p>
        </w:tc>
      </w:tr>
      <w:tr>
        <w:trPr/>
        <w:tc>
          <w:tcPr>
            <w:tcW w:w="5315"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215</w:t>
            </w:r>
          </w:p>
        </w:tc>
        <w:tc>
          <w:tcPr>
            <w:tcW w:w="110" w:type="dxa"/>
            <w:tcBorders/>
            <w:shd w:fill="FFFFFF" w:val="clear"/>
            <w:vAlign w:val="center"/>
          </w:tcPr>
          <w:p>
            <w:pPr>
              <w:pStyle w:val="TableContents"/>
              <w:bidi w:val="0"/>
              <w:spacing w:before="0" w:after="283"/>
              <w:jc w:val="left"/>
              <w:rPr/>
            </w:pPr>
            <w:r>
              <w:rPr/>
              <w:t> </w:t>
            </w:r>
            <w:bookmarkStart w:id="24" w:name="xdx_40E_eus-gaap--InventoryNet_i02I_pn3n"/>
            <w:bookmarkEnd w:id="24"/>
          </w:p>
        </w:tc>
      </w:tr>
      <w:tr>
        <w:trPr/>
        <w:tc>
          <w:tcPr>
            <w:tcW w:w="5315"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1,207</w:t>
            </w:r>
          </w:p>
        </w:tc>
        <w:tc>
          <w:tcPr>
            <w:tcW w:w="110" w:type="dxa"/>
            <w:tcBorders/>
            <w:shd w:fill="CCEEFF" w:val="clear"/>
            <w:vAlign w:val="center"/>
          </w:tcPr>
          <w:p>
            <w:pPr>
              <w:pStyle w:val="TableContents"/>
              <w:bidi w:val="0"/>
              <w:spacing w:before="0" w:after="283"/>
              <w:jc w:val="left"/>
              <w:rPr/>
            </w:pPr>
            <w:r>
              <w:rPr/>
              <w:t> </w:t>
            </w:r>
            <w:bookmarkStart w:id="25" w:name="xdx_408_eus-gaap--OtherAssetsCurrent_i02"/>
            <w:bookmarkEnd w:id="25"/>
          </w:p>
        </w:tc>
      </w:tr>
      <w:tr>
        <w:trPr/>
        <w:tc>
          <w:tcPr>
            <w:tcW w:w="5315" w:type="dxa"/>
            <w:tcBorders/>
            <w:shd w:fill="FFFFFF" w:val="clear"/>
            <w:vAlign w:val="center"/>
          </w:tcPr>
          <w:p>
            <w:pPr>
              <w:pStyle w:val="TableContents"/>
              <w:bidi w:val="0"/>
              <w:spacing w:before="0" w:after="283"/>
              <w:jc w:val="both"/>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541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r>
              <w:rPr/>
              <w:t>342</w:t>
            </w:r>
          </w:p>
        </w:tc>
        <w:tc>
          <w:tcPr>
            <w:tcW w:w="110" w:type="dxa"/>
            <w:tcBorders/>
            <w:shd w:fill="FFFFFF" w:val="clear"/>
            <w:vAlign w:val="center"/>
          </w:tcPr>
          <w:p>
            <w:pPr>
              <w:pStyle w:val="TableContents"/>
              <w:bidi w:val="0"/>
              <w:spacing w:before="0" w:after="283"/>
              <w:jc w:val="left"/>
              <w:rPr/>
            </w:pPr>
            <w:r>
              <w:rPr/>
              <w:t> </w:t>
            </w:r>
            <w:bookmarkStart w:id="26" w:name="xdx_403_eus-gaap--AssetsCurrent_i02TI_pn"/>
            <w:bookmarkEnd w:id="26"/>
          </w:p>
        </w:tc>
      </w:tr>
      <w:tr>
        <w:trPr/>
        <w:tc>
          <w:tcPr>
            <w:tcW w:w="5315" w:type="dxa"/>
            <w:tcBorders/>
            <w:shd w:fill="CCEEFF" w:val="clear"/>
            <w:vAlign w:val="center"/>
          </w:tcPr>
          <w:p>
            <w:pPr>
              <w:pStyle w:val="TableContents"/>
              <w:bidi w:val="0"/>
              <w:spacing w:before="0" w:after="283"/>
              <w:jc w:val="both"/>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pPr>
            <w:r>
              <w:rPr/>
              <w:t>17,202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21,993</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 w:name="xdx_408_eus-gaap--AssetsNoncurrentAbstra"/>
            <w:bookmarkEnd w:id="27"/>
          </w:p>
        </w:tc>
      </w:tr>
      <w:tr>
        <w:trPr/>
        <w:tc>
          <w:tcPr>
            <w:tcW w:w="5315" w:type="dxa"/>
            <w:tcBorders/>
            <w:shd w:fill="CCEEFF" w:val="clear"/>
            <w:vAlign w:val="center"/>
          </w:tcPr>
          <w:p>
            <w:pPr>
              <w:pStyle w:val="TableContents"/>
              <w:bidi w:val="0"/>
              <w:spacing w:before="0" w:after="283"/>
              <w:jc w:val="both"/>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 w:name="xdx_400_eus-gaap--OperatingLeaseRightOfU"/>
            <w:bookmarkEnd w:id="28"/>
          </w:p>
        </w:tc>
      </w:tr>
      <w:tr>
        <w:trPr/>
        <w:tc>
          <w:tcPr>
            <w:tcW w:w="5315" w:type="dxa"/>
            <w:tcBorders/>
            <w:shd w:fill="FFFFFF" w:val="clear"/>
            <w:vAlign w:val="center"/>
          </w:tcPr>
          <w:p>
            <w:pPr>
              <w:pStyle w:val="TableContents"/>
              <w:bidi w:val="0"/>
              <w:spacing w:before="0" w:after="283"/>
              <w:jc w:val="both"/>
              <w:rPr/>
            </w:pPr>
            <w:r>
              <w:rPr/>
              <w:t>Operating lease - right of use asset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254</w:t>
            </w:r>
          </w:p>
        </w:tc>
        <w:tc>
          <w:tcPr>
            <w:tcW w:w="110" w:type="dxa"/>
            <w:tcBorders/>
            <w:shd w:fill="FFFFFF" w:val="clear"/>
            <w:vAlign w:val="center"/>
          </w:tcPr>
          <w:p>
            <w:pPr>
              <w:pStyle w:val="TableContents"/>
              <w:bidi w:val="0"/>
              <w:spacing w:before="0" w:after="283"/>
              <w:jc w:val="left"/>
              <w:rPr/>
            </w:pPr>
            <w:r>
              <w:rPr/>
              <w:t> </w:t>
            </w:r>
            <w:bookmarkStart w:id="29" w:name="xdx_40C_eus-gaap--PropertyPlantAndEquipm"/>
            <w:bookmarkEnd w:id="29"/>
          </w:p>
        </w:tc>
      </w:tr>
      <w:tr>
        <w:trPr/>
        <w:tc>
          <w:tcPr>
            <w:tcW w:w="5315" w:type="dxa"/>
            <w:tcBorders/>
            <w:shd w:fill="CCEEFF" w:val="clear"/>
            <w:vAlign w:val="center"/>
          </w:tcPr>
          <w:p>
            <w:pPr>
              <w:pStyle w:val="TableContents"/>
              <w:bidi w:val="0"/>
              <w:spacing w:before="0" w:after="283"/>
              <w:jc w:val="both"/>
              <w:rPr/>
            </w:pPr>
            <w:r>
              <w:rPr/>
              <w:t>Fixed assets, net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pPr>
            <w:r>
              <w:rPr/>
              <w:t>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bookmarkStart w:id="30" w:name="xdx_404_eus-gaap--AssetsNoncurrent_i02TI"/>
            <w:bookmarkEnd w:id="30"/>
          </w:p>
        </w:tc>
      </w:tr>
      <w:tr>
        <w:trPr/>
        <w:tc>
          <w:tcPr>
            <w:tcW w:w="531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sz w:val="20"/>
              </w:rPr>
              <w:t>Total non current assets</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 w:name="xdx_406_eus-gaap--Assets_i01TI_pn3n3_mtA"/>
            <w:bookmarkEnd w:id="31"/>
          </w:p>
        </w:tc>
      </w:tr>
      <w:tr>
        <w:trPr/>
        <w:tc>
          <w:tcPr>
            <w:tcW w:w="5315" w:type="dxa"/>
            <w:tcBorders/>
            <w:shd w:fill="FFFFFF" w:val="clear"/>
            <w:vAlign w:val="center"/>
          </w:tcPr>
          <w:p>
            <w:pPr>
              <w:pStyle w:val="TableContents"/>
              <w:bidi w:val="0"/>
              <w:spacing w:before="0" w:after="283"/>
              <w:jc w:val="both"/>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double" w:sz="6" w:space="0" w:color="000000"/>
            </w:tcBorders>
            <w:shd w:fill="FFFFFF" w:val="clear"/>
            <w:tcMar>
              <w:bottom w:w="28" w:type="dxa"/>
            </w:tcMar>
            <w:vAlign w:val="center"/>
          </w:tcPr>
          <w:p>
            <w:pPr>
              <w:pStyle w:val="TableContents"/>
              <w:bidi w:val="0"/>
              <w:spacing w:before="0" w:after="283"/>
              <w:jc w:val="right"/>
              <w:rPr/>
            </w:pPr>
            <w:r>
              <w:rPr/>
              <w:t>17,583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shd w:fill="FFFFFF" w:val="clear"/>
            <w:tcMar>
              <w:bottom w:w="28" w:type="dxa"/>
            </w:tcMar>
            <w:vAlign w:val="center"/>
          </w:tcPr>
          <w:p>
            <w:pPr>
              <w:pStyle w:val="TableContents"/>
              <w:bidi w:val="0"/>
              <w:spacing w:before="0" w:after="283"/>
              <w:jc w:val="right"/>
              <w:rPr/>
            </w:pPr>
            <w:r>
              <w:rPr/>
              <w:t>22,543</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2" w:name="xdx_400_eus-gaap--LiabilitiesAndStockhol"/>
            <w:bookmarkEnd w:id="32"/>
          </w:p>
        </w:tc>
      </w:tr>
      <w:tr>
        <w:trPr/>
        <w:tc>
          <w:tcPr>
            <w:tcW w:w="5315" w:type="dxa"/>
            <w:tcBorders/>
            <w:shd w:fill="FFFFFF" w:val="clear"/>
            <w:vAlign w:val="center"/>
          </w:tcPr>
          <w:p>
            <w:pPr>
              <w:pStyle w:val="TableContents"/>
              <w:bidi w:val="0"/>
              <w:spacing w:before="0" w:after="283"/>
              <w:jc w:val="left"/>
              <w:rPr>
                <w:b/>
                <w:u w:val="single"/>
              </w:rPr>
            </w:pPr>
            <w:r>
              <w:rPr>
                <w:b/>
                <w:u w:val="single"/>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3" w:name="xdx_406_eus-gaap--LiabilitiesCurrentAbst"/>
            <w:bookmarkEnd w:id="33"/>
          </w:p>
        </w:tc>
      </w:tr>
      <w:tr>
        <w:trPr/>
        <w:tc>
          <w:tcPr>
            <w:tcW w:w="5315" w:type="dxa"/>
            <w:tcBorders/>
            <w:shd w:fill="FFFFFF" w:val="clear"/>
            <w:vAlign w:val="center"/>
          </w:tcPr>
          <w:p>
            <w:pPr>
              <w:pStyle w:val="TableContents"/>
              <w:bidi w:val="0"/>
              <w:spacing w:before="0" w:after="283"/>
              <w:jc w:val="both"/>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4" w:name="xdx_405_eus-gaap--AccountsPayableTradeCu"/>
            <w:bookmarkEnd w:id="34"/>
          </w:p>
        </w:tc>
      </w:tr>
      <w:tr>
        <w:trPr/>
        <w:tc>
          <w:tcPr>
            <w:tcW w:w="5315" w:type="dxa"/>
            <w:tcBorders/>
            <w:shd w:fill="CCEEFF" w:val="clear"/>
            <w:vAlign w:val="center"/>
          </w:tcPr>
          <w:p>
            <w:pPr>
              <w:pStyle w:val="TableContents"/>
              <w:bidi w:val="0"/>
              <w:spacing w:before="0" w:after="283"/>
              <w:jc w:val="both"/>
              <w:rPr/>
            </w:pPr>
            <w:r>
              <w:rPr/>
              <w:t>Trade accounts payables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219</w:t>
            </w:r>
          </w:p>
        </w:tc>
        <w:tc>
          <w:tcPr>
            <w:tcW w:w="110" w:type="dxa"/>
            <w:tcBorders/>
            <w:shd w:fill="CCEEFF" w:val="clear"/>
            <w:vAlign w:val="center"/>
          </w:tcPr>
          <w:p>
            <w:pPr>
              <w:pStyle w:val="TableContents"/>
              <w:bidi w:val="0"/>
              <w:spacing w:before="0" w:after="283"/>
              <w:jc w:val="left"/>
              <w:rPr/>
            </w:pPr>
            <w:r>
              <w:rPr/>
              <w:t> </w:t>
            </w:r>
            <w:bookmarkStart w:id="35" w:name="xdx_400_eus-gaap--OperatingLeaseLiabilit"/>
            <w:bookmarkEnd w:id="35"/>
          </w:p>
        </w:tc>
      </w:tr>
      <w:tr>
        <w:trPr/>
        <w:tc>
          <w:tcPr>
            <w:tcW w:w="5315" w:type="dxa"/>
            <w:tcBorders/>
            <w:shd w:fill="FFFFFF" w:val="clear"/>
            <w:vAlign w:val="center"/>
          </w:tcPr>
          <w:p>
            <w:pPr>
              <w:pStyle w:val="TableContents"/>
              <w:bidi w:val="0"/>
              <w:spacing w:before="0" w:after="283"/>
              <w:jc w:val="both"/>
              <w:rPr/>
            </w:pPr>
            <w:r>
              <w:rPr/>
              <w:t>Current operating lease liability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248</w:t>
            </w:r>
          </w:p>
        </w:tc>
        <w:tc>
          <w:tcPr>
            <w:tcW w:w="110" w:type="dxa"/>
            <w:tcBorders/>
            <w:shd w:fill="FFFFFF" w:val="clear"/>
            <w:vAlign w:val="center"/>
          </w:tcPr>
          <w:p>
            <w:pPr>
              <w:pStyle w:val="TableContents"/>
              <w:bidi w:val="0"/>
              <w:spacing w:before="0" w:after="283"/>
              <w:jc w:val="left"/>
              <w:rPr/>
            </w:pPr>
            <w:r>
              <w:rPr/>
              <w:t> </w:t>
            </w:r>
            <w:bookmarkStart w:id="36" w:name="xdx_405_eus-gaap--AccountsPayableOtherCu"/>
            <w:bookmarkEnd w:id="36"/>
          </w:p>
        </w:tc>
      </w:tr>
      <w:tr>
        <w:trPr/>
        <w:tc>
          <w:tcPr>
            <w:tcW w:w="5315" w:type="dxa"/>
            <w:tcBorders/>
            <w:shd w:fill="CCEEFF" w:val="clear"/>
            <w:vAlign w:val="center"/>
          </w:tcPr>
          <w:p>
            <w:pPr>
              <w:pStyle w:val="TableContents"/>
              <w:bidi w:val="0"/>
              <w:spacing w:before="0" w:after="283"/>
              <w:jc w:val="both"/>
              <w:rPr/>
            </w:pPr>
            <w:r>
              <w:rPr/>
              <w:t>Other accounts payable</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pPr>
            <w:r>
              <w:rPr/>
              <w:t>1,568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1,742</w:t>
            </w:r>
          </w:p>
        </w:tc>
        <w:tc>
          <w:tcPr>
            <w:tcW w:w="110" w:type="dxa"/>
            <w:tcBorders/>
            <w:shd w:fill="CCEEFF" w:val="clear"/>
            <w:vAlign w:val="center"/>
          </w:tcPr>
          <w:p>
            <w:pPr>
              <w:pStyle w:val="TableContents"/>
              <w:bidi w:val="0"/>
              <w:spacing w:before="0" w:after="283"/>
              <w:jc w:val="left"/>
              <w:rPr/>
            </w:pPr>
            <w:r>
              <w:rPr/>
              <w:t> </w:t>
            </w:r>
            <w:bookmarkStart w:id="37" w:name="xdx_404_eus-gaap--LiabilitiesCurrent_i02"/>
            <w:bookmarkEnd w:id="37"/>
          </w:p>
        </w:tc>
      </w:tr>
      <w:tr>
        <w:trPr/>
        <w:tc>
          <w:tcPr>
            <w:tcW w:w="5315" w:type="dxa"/>
            <w:tcBorders/>
            <w:shd w:fill="FFFFFF" w:val="clear"/>
            <w:vAlign w:val="center"/>
          </w:tcPr>
          <w:p>
            <w:pPr>
              <w:pStyle w:val="TableContents"/>
              <w:bidi w:val="0"/>
              <w:spacing w:before="0" w:after="283"/>
              <w:jc w:val="both"/>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1,792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r>
              <w:rPr/>
              <w:t>2,209</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8" w:name="xdx_405_eus-gaap--Liabilities_i01TI_mtLz"/>
            <w:bookmarkEnd w:id="38"/>
          </w:p>
        </w:tc>
      </w:tr>
      <w:tr>
        <w:trPr/>
        <w:tc>
          <w:tcPr>
            <w:tcW w:w="5315" w:type="dxa"/>
            <w:tcBorders/>
            <w:shd w:fill="FFFFFF" w:val="clear"/>
            <w:vAlign w:val="center"/>
          </w:tcPr>
          <w:p>
            <w:pPr>
              <w:pStyle w:val="TableContents"/>
              <w:bidi w:val="0"/>
              <w:spacing w:before="0" w:after="283"/>
              <w:jc w:val="both"/>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1,792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r>
              <w:rPr/>
              <w:t>2,209</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 w:name="xdx_405_eus-gaap--StockholdersEquityAbst"/>
            <w:bookmarkEnd w:id="39"/>
          </w:p>
        </w:tc>
      </w:tr>
      <w:tr>
        <w:trPr/>
        <w:tc>
          <w:tcPr>
            <w:tcW w:w="5315" w:type="dxa"/>
            <w:tcBorders/>
            <w:shd w:fill="FFFFFF" w:val="clear"/>
            <w:vAlign w:val="center"/>
          </w:tcPr>
          <w:p>
            <w:pPr>
              <w:pStyle w:val="TableContents"/>
              <w:bidi w:val="0"/>
              <w:spacing w:before="0" w:after="283"/>
              <w:jc w:val="both"/>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 w:name="xdx_409_eus-gaap--AdditionalPaidInCapita"/>
            <w:bookmarkEnd w:id="40"/>
          </w:p>
        </w:tc>
      </w:tr>
      <w:tr>
        <w:trPr/>
        <w:tc>
          <w:tcPr>
            <w:tcW w:w="5315"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130,816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128,104</w:t>
            </w:r>
          </w:p>
        </w:tc>
        <w:tc>
          <w:tcPr>
            <w:tcW w:w="110" w:type="dxa"/>
            <w:tcBorders/>
            <w:shd w:fill="CCEEFF" w:val="clear"/>
            <w:vAlign w:val="center"/>
          </w:tcPr>
          <w:p>
            <w:pPr>
              <w:pStyle w:val="TableContents"/>
              <w:bidi w:val="0"/>
              <w:spacing w:before="0" w:after="283"/>
              <w:jc w:val="left"/>
              <w:rPr/>
            </w:pPr>
            <w:r>
              <w:rPr/>
              <w:t> </w:t>
            </w:r>
            <w:bookmarkStart w:id="41" w:name="xdx_402_eus-gaap--RetainedEarningsAccumu"/>
            <w:bookmarkEnd w:id="41"/>
          </w:p>
        </w:tc>
      </w:tr>
      <w:tr>
        <w:trPr/>
        <w:tc>
          <w:tcPr>
            <w:tcW w:w="531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(115,025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r>
              <w:rPr/>
              <w:t>(107,770</w:t>
            </w:r>
          </w:p>
        </w:tc>
        <w:tc>
          <w:tcPr>
            <w:tcW w:w="110" w:type="dxa"/>
            <w:tcBorders/>
            <w:shd w:fill="FFFFFF" w:val="clear"/>
            <w:vAlign w:val="center"/>
          </w:tcPr>
          <w:p>
            <w:pPr>
              <w:pStyle w:val="TableContents"/>
              <w:bidi w:val="0"/>
              <w:spacing w:before="0" w:after="283"/>
              <w:jc w:val="left"/>
              <w:rPr/>
            </w:pPr>
            <w:r>
              <w:rPr/>
              <w:t>)</w:t>
            </w:r>
            <w:bookmarkStart w:id="42" w:name="xdx_401_eus-gaap--StockholdersEquity_i02"/>
            <w:bookmarkEnd w:id="42"/>
          </w:p>
        </w:tc>
      </w:tr>
      <w:tr>
        <w:trPr/>
        <w:tc>
          <w:tcPr>
            <w:tcW w:w="5315"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pPr>
            <w:r>
              <w:rPr/>
              <w:t>15,791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20,334</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3" w:name="xdx_40E_eus-gaap--LiabilitiesAndStockhol"/>
            <w:bookmarkEnd w:id="43"/>
          </w:p>
        </w:tc>
      </w:tr>
      <w:tr>
        <w:trPr/>
        <w:tc>
          <w:tcPr>
            <w:tcW w:w="5315"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double" w:sz="6" w:space="0" w:color="000000"/>
            </w:tcBorders>
            <w:shd w:fill="CCEEFF" w:val="clear"/>
            <w:tcMar>
              <w:bottom w:w="28" w:type="dxa"/>
            </w:tcMar>
            <w:vAlign w:val="center"/>
          </w:tcPr>
          <w:p>
            <w:pPr>
              <w:pStyle w:val="TableContents"/>
              <w:bidi w:val="0"/>
              <w:spacing w:before="0" w:after="283"/>
              <w:jc w:val="right"/>
              <w:rPr/>
            </w:pPr>
            <w:r>
              <w:rPr/>
              <w:t>17,583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shd w:fill="CCEEFF" w:val="clear"/>
            <w:tcMar>
              <w:bottom w:w="28" w:type="dxa"/>
            </w:tcMar>
            <w:vAlign w:val="center"/>
          </w:tcPr>
          <w:p>
            <w:pPr>
              <w:pStyle w:val="TableContents"/>
              <w:bidi w:val="0"/>
              <w:spacing w:before="0" w:after="283"/>
              <w:jc w:val="right"/>
              <w:rPr/>
            </w:pPr>
            <w:r>
              <w:rPr/>
              <w:t>22,543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44" w:name="sp_002"/>
      <w:bookmarkEnd w:id="44"/>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UNAUDITED INTERIM CONDENSED 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data and per ordinary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5" w:name="xdx_302_113_pn3n3_z1M84fFn3tD1"/>
      <w:bookmarkStart w:id="46" w:name="xdx_302_113_pn3n3_z1M84fFn3tD1"/>
      <w:bookmarkEnd w:id="46"/>
    </w:p>
    <w:tbl>
      <w:tblPr>
        <w:tblW w:w="10205" w:type="dxa"/>
        <w:jc w:val="left"/>
        <w:tblInd w:w="0" w:type="dxa"/>
        <w:tblLayout w:type="fixed"/>
        <w:tblCellMar>
          <w:top w:w="0" w:type="dxa"/>
          <w:left w:w="0" w:type="dxa"/>
          <w:bottom w:w="0" w:type="dxa"/>
          <w:right w:w="0" w:type="dxa"/>
        </w:tblCellMar>
      </w:tblPr>
      <w:tblGrid>
        <w:gridCol w:w="7640"/>
        <w:gridCol w:w="60"/>
        <w:gridCol w:w="140"/>
        <w:gridCol w:w="980"/>
        <w:gridCol w:w="95"/>
        <w:gridCol w:w="60"/>
        <w:gridCol w:w="140"/>
        <w:gridCol w:w="980"/>
        <w:gridCol w:w="110"/>
      </w:tblGrid>
      <w:tr>
        <w:trPr/>
        <w:tc>
          <w:tcPr>
            <w:tcW w:w="7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7" w:name="xdx_497_20260101__20260630_zvHafiPsPg54"/>
            <w:bookmarkEnd w:id="47"/>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 w:name="xdx_493_20250101__20250630_zUGVkMHDQq9j"/>
            <w:bookmarkEnd w:id="48"/>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49" w:name="xdx_405_eus-gaap--RevenueFromContractWit"/>
            <w:bookmarkEnd w:id="49"/>
          </w:p>
        </w:tc>
      </w:tr>
      <w:tr>
        <w:trPr/>
        <w:tc>
          <w:tcPr>
            <w:tcW w:w="7640" w:type="dxa"/>
            <w:tcBorders/>
            <w:shd w:fill="CCEEFF" w:val="clear"/>
            <w:vAlign w:val="center"/>
          </w:tcPr>
          <w:p>
            <w:pPr>
              <w:pStyle w:val="TableContents"/>
              <w:bidi w:val="0"/>
              <w:spacing w:before="0" w:after="283"/>
              <w:jc w:val="both"/>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237</w:t>
            </w:r>
          </w:p>
        </w:tc>
        <w:tc>
          <w:tcPr>
            <w:tcW w:w="110" w:type="dxa"/>
            <w:tcBorders/>
            <w:shd w:fill="CCEEFF" w:val="clear"/>
            <w:vAlign w:val="center"/>
          </w:tcPr>
          <w:p>
            <w:pPr>
              <w:pStyle w:val="TableContents"/>
              <w:bidi w:val="0"/>
              <w:spacing w:before="0" w:after="283"/>
              <w:jc w:val="left"/>
              <w:rPr/>
            </w:pPr>
            <w:r>
              <w:rPr/>
              <w:t> </w:t>
            </w:r>
            <w:bookmarkStart w:id="50" w:name="xdx_401_eus-gaap--CostOfRevenue_iN_pn3n3"/>
            <w:bookmarkEnd w:id="50"/>
          </w:p>
        </w:tc>
      </w:tr>
      <w:tr>
        <w:trPr/>
        <w:tc>
          <w:tcPr>
            <w:tcW w:w="7640" w:type="dxa"/>
            <w:tcBorders/>
            <w:shd w:fill="FFFFFF" w:val="clear"/>
            <w:vAlign w:val="center"/>
          </w:tcPr>
          <w:p>
            <w:pPr>
              <w:pStyle w:val="TableContents"/>
              <w:bidi w:val="0"/>
              <w:spacing w:before="0" w:after="283"/>
              <w:jc w:val="both"/>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1" w:name="xdx_40F_eus-gaap--GrossProfit_iT_pn3n3_m"/>
            <w:bookmarkEnd w:id="51"/>
          </w:p>
        </w:tc>
      </w:tr>
      <w:tr>
        <w:trPr/>
        <w:tc>
          <w:tcPr>
            <w:tcW w:w="7640" w:type="dxa"/>
            <w:tcBorders/>
            <w:shd w:fill="FFFFFF" w:val="clear"/>
            <w:vAlign w:val="center"/>
          </w:tcPr>
          <w:p>
            <w:pPr>
              <w:pStyle w:val="TableContents"/>
              <w:bidi w:val="0"/>
              <w:spacing w:before="0" w:after="283"/>
              <w:jc w:val="both"/>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w:t>
            </w:r>
          </w:p>
        </w:tc>
        <w:tc>
          <w:tcPr>
            <w:tcW w:w="11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2" w:name="xdx_40B_eus-gaap--ResearchAndDevelopment"/>
            <w:bookmarkEnd w:id="52"/>
          </w:p>
        </w:tc>
      </w:tr>
      <w:tr>
        <w:trPr/>
        <w:tc>
          <w:tcPr>
            <w:tcW w:w="7640" w:type="dxa"/>
            <w:tcBorders/>
            <w:shd w:fill="FFFFFF" w:val="clear"/>
            <w:vAlign w:val="center"/>
          </w:tcPr>
          <w:p>
            <w:pPr>
              <w:pStyle w:val="TableContents"/>
              <w:bidi w:val="0"/>
              <w:spacing w:before="0" w:after="283"/>
              <w:jc w:val="both"/>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(3,241</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3" w:name="xdx_40A_eus-gaap--GeneralAndAdministrati"/>
            <w:bookmarkEnd w:id="53"/>
          </w:p>
        </w:tc>
      </w:tr>
      <w:tr>
        <w:trPr/>
        <w:tc>
          <w:tcPr>
            <w:tcW w:w="7640" w:type="dxa"/>
            <w:tcBorders/>
            <w:shd w:fill="FFFFFF" w:val="clear"/>
            <w:vAlign w:val="center"/>
          </w:tcPr>
          <w:p>
            <w:pPr>
              <w:pStyle w:val="TableContents"/>
              <w:bidi w:val="0"/>
              <w:spacing w:before="0" w:after="283"/>
              <w:jc w:val="both"/>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(3,150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(2,512</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4" w:name="xdx_40B_eus-gaap--OperatingIncomeLoss_iT"/>
            <w:bookmarkEnd w:id="54"/>
          </w:p>
        </w:tc>
      </w:tr>
      <w:tr>
        <w:trPr/>
        <w:tc>
          <w:tcPr>
            <w:tcW w:w="7640" w:type="dxa"/>
            <w:tcBorders/>
            <w:shd w:fill="FFFFFF" w:val="clear"/>
            <w:vAlign w:val="center"/>
          </w:tcPr>
          <w:p>
            <w:pPr>
              <w:pStyle w:val="TableContents"/>
              <w:bidi w:val="0"/>
              <w:spacing w:before="0" w:after="283"/>
              <w:jc w:val="both"/>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(5,705</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5" w:name="xdx_407_eus-gaap--NonoperatingIncomeExpe"/>
            <w:bookmarkEnd w:id="55"/>
          </w:p>
        </w:tc>
      </w:tr>
      <w:tr>
        <w:trPr/>
        <w:tc>
          <w:tcPr>
            <w:tcW w:w="7640" w:type="dxa"/>
            <w:tcBorders/>
            <w:shd w:fill="FFFFFF" w:val="clear"/>
            <w:vAlign w:val="center"/>
          </w:tcPr>
          <w:p>
            <w:pPr>
              <w:pStyle w:val="TableContents"/>
              <w:bidi w:val="0"/>
              <w:spacing w:before="0" w:after="283"/>
              <w:jc w:val="both"/>
              <w:rPr>
                <w:b/>
              </w:rPr>
            </w:pPr>
            <w:r>
              <w:rPr>
                <w:b/>
              </w:rPr>
              <w:t>Financial (expenses)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6" w:name="xdx_403_ecustom--RevaluationOfDerivative"/>
            <w:bookmarkEnd w:id="56"/>
          </w:p>
        </w:tc>
      </w:tr>
      <w:tr>
        <w:trPr/>
        <w:tc>
          <w:tcPr>
            <w:tcW w:w="7640" w:type="dxa"/>
            <w:tcBorders/>
            <w:shd w:fill="CCEEFF" w:val="clear"/>
            <w:vAlign w:val="center"/>
          </w:tcPr>
          <w:p>
            <w:pPr>
              <w:pStyle w:val="TableContents"/>
              <w:bidi w:val="0"/>
              <w:spacing w:before="0" w:after="283"/>
              <w:jc w:val="both"/>
              <w:rPr/>
            </w:pPr>
            <w:r>
              <w:rPr/>
              <w:t>Revaluation of derivatives, warrant liabilities and 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(380</w:t>
            </w:r>
          </w:p>
        </w:tc>
        <w:tc>
          <w:tcPr>
            <w:tcW w:w="110" w:type="dxa"/>
            <w:tcBorders/>
            <w:shd w:fill="CCEEFF" w:val="clear"/>
            <w:vAlign w:val="center"/>
          </w:tcPr>
          <w:p>
            <w:pPr>
              <w:pStyle w:val="TableContents"/>
              <w:bidi w:val="0"/>
              <w:spacing w:before="0" w:after="283"/>
              <w:jc w:val="left"/>
              <w:rPr/>
            </w:pPr>
            <w:r>
              <w:rPr/>
              <w:t>)</w:t>
            </w:r>
            <w:bookmarkStart w:id="57" w:name="xdx_402_eus-gaap--OtherNonoperatingIncom"/>
            <w:bookmarkEnd w:id="57"/>
          </w:p>
        </w:tc>
      </w:tr>
      <w:tr>
        <w:trPr/>
        <w:tc>
          <w:tcPr>
            <w:tcW w:w="7640" w:type="dxa"/>
            <w:tcBorders/>
            <w:shd w:fill="FFFFFF" w:val="clear"/>
            <w:vAlign w:val="center"/>
          </w:tcPr>
          <w:p>
            <w:pPr>
              <w:pStyle w:val="TableContents"/>
              <w:bidi w:val="0"/>
              <w:spacing w:before="0" w:after="283"/>
              <w:jc w:val="both"/>
              <w:rPr/>
            </w:pPr>
            <w:r>
              <w:rPr/>
              <w:t>Other financing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406</w:t>
            </w:r>
          </w:p>
        </w:tc>
        <w:tc>
          <w:tcPr>
            <w:tcW w:w="11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8" w:name="xdx_40B_eus-gaap--ProfitLoss_pn3n3_mtPLz"/>
            <w:bookmarkEnd w:id="58"/>
          </w:p>
        </w:tc>
      </w:tr>
      <w:tr>
        <w:trPr/>
        <w:tc>
          <w:tcPr>
            <w:tcW w:w="7640" w:type="dxa"/>
            <w:tcBorders/>
            <w:shd w:fill="FFFFFF" w:val="clear"/>
            <w:vAlign w:val="center"/>
          </w:tcPr>
          <w:p>
            <w:pPr>
              <w:pStyle w:val="TableContents"/>
              <w:bidi w:val="0"/>
              <w:spacing w:before="0" w:after="283"/>
              <w:jc w:val="both"/>
              <w:rPr>
                <w:b/>
              </w:rPr>
            </w:pPr>
            <w:r>
              <w:rPr>
                <w:b/>
              </w:rPr>
              <w:t>Net loss for the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(7,310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(5,679</w:t>
            </w:r>
          </w:p>
        </w:tc>
        <w:tc>
          <w:tcPr>
            <w:tcW w:w="110" w:type="dxa"/>
            <w:tcBorders/>
            <w:shd w:fill="FFFFFF" w:val="clear"/>
            <w:vAlign w:val="center"/>
          </w:tcPr>
          <w:p>
            <w:pPr>
              <w:pStyle w:val="TableContents"/>
              <w:bidi w:val="0"/>
              <w:spacing w:before="0" w:after="283"/>
              <w:jc w:val="left"/>
              <w:rPr/>
            </w:pPr>
            <w:r>
              <w:rPr/>
              <w:t>)</w:t>
            </w:r>
            <w:bookmarkStart w:id="59" w:name="xdx_40C_eus-gaap--NetIncomeLossAttributa"/>
            <w:bookmarkEnd w:id="59"/>
          </w:p>
        </w:tc>
      </w:tr>
      <w:tr>
        <w:trPr/>
        <w:tc>
          <w:tcPr>
            <w:tcW w:w="7640" w:type="dxa"/>
            <w:tcBorders/>
            <w:shd w:fill="CCEEFF" w:val="clear"/>
            <w:vAlign w:val="center"/>
          </w:tcPr>
          <w:p>
            <w:pPr>
              <w:pStyle w:val="TableContents"/>
              <w:bidi w:val="0"/>
              <w:spacing w:before="0" w:after="283"/>
              <w:jc w:val="both"/>
              <w:rPr/>
            </w:pPr>
            <w:r>
              <w:rPr/>
              <w:t>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0" w:name="xdx_40B_eus-gaap--NetIncomeLoss_iT_pn3n3"/>
            <w:bookmarkEnd w:id="60"/>
          </w:p>
        </w:tc>
      </w:tr>
      <w:tr>
        <w:trPr/>
        <w:tc>
          <w:tcPr>
            <w:tcW w:w="7640" w:type="dxa"/>
            <w:tcBorders/>
            <w:shd w:fill="FFFFFF" w:val="clear"/>
            <w:vAlign w:val="center"/>
          </w:tcPr>
          <w:p>
            <w:pPr>
              <w:pStyle w:val="TableContents"/>
              <w:bidi w:val="0"/>
              <w:spacing w:before="0" w:after="283"/>
              <w:jc w:val="both"/>
              <w:rPr>
                <w:b/>
              </w:rPr>
            </w:pPr>
            <w:r>
              <w:rPr>
                <w:b/>
              </w:rPr>
              <w:t>Net loss attributable to Rail Vision Ltd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(5,679</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both"/>
              <w:rPr>
                <w:b/>
              </w:rPr>
            </w:pPr>
            <w:r>
              <w:rPr>
                <w:b/>
              </w:rPr>
              <w:t>Basic and diluted loss per share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1" w:name="xdx_905_eus-gaap--EarningsPerShareDilute"/>
            <w:bookmarkStart w:id="62" w:name="xdx_908_eus-gaap--EarningsPerShareBasic_"/>
            <w:bookmarkEnd w:id="61"/>
            <w:bookmarkEnd w:id="62"/>
            <w:r>
              <w:rPr/>
              <w:t>(3.30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3" w:name="xdx_907_eus-gaap--EarningsPerShareDilute"/>
            <w:bookmarkStart w:id="64" w:name="xdx_906_eus-gaap--EarningsPerShareBasic_"/>
            <w:bookmarkEnd w:id="63"/>
            <w:bookmarkEnd w:id="64"/>
            <w:r>
              <w:rPr/>
              <w:t>(3.38</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both"/>
              <w:rPr/>
            </w:pPr>
            <w:r>
              <w:rPr/>
              <w:t>Weighted average number of shares outstanding used to compute basic and diluted loss per ordinary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5" w:name="xdx_90A_eus-gaap--WeightedAverageNumberO"/>
            <w:bookmarkStart w:id="66" w:name="xdx_905_eus-gaap--WeightedAverageNumberO"/>
            <w:bookmarkEnd w:id="65"/>
            <w:bookmarkEnd w:id="66"/>
            <w:r>
              <w:rPr/>
              <w:t>2,197,458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7" w:name="xdx_902_eus-gaap--WeightedAverageNumberO"/>
            <w:bookmarkStart w:id="68" w:name="xdx_907_eus-gaap--WeightedAverageNumberO"/>
            <w:bookmarkEnd w:id="67"/>
            <w:bookmarkEnd w:id="68"/>
            <w:r>
              <w:rPr/>
              <w:t>1,678,809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69" w:name="xdx_F05_ztkr45Kcpj8j"/>
            <w:bookmarkEnd w:id="69"/>
            <w:r>
              <w:rPr>
                <w:rFonts w:ascii="Times New Roman;Times;Serif" w:hAnsi="Times New Roman;Times;Serif"/>
                <w:b/>
                <w:i w:val="false"/>
                <w:caps w:val="false"/>
                <w:smallCaps w:val="false"/>
                <w:sz w:val="20"/>
              </w:rPr>
              <w:t>(*)</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0" w:name="xdx_F1A_zuslX0Wh2MJ7"/>
            <w:bookmarkEnd w:id="70"/>
            <w:r>
              <w:rPr>
                <w:rFonts w:ascii="Times New Roman;Times;Serif" w:hAnsi="Times New Roman;Times;Serif"/>
                <w:b w:val="false"/>
                <w:i w:val="false"/>
                <w:caps w:val="false"/>
                <w:smallCaps w:val="false"/>
                <w:sz w:val="20"/>
              </w:rPr>
              <w:t>Basic and diluted net loss per share is calculated by dividing net loss attributable to shareholders of the Company by the weighted average number of ordinary shares outstanding during the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71" w:name="sp_003"/>
      <w:bookmarkEnd w:id="71"/>
      <w:r>
        <w:rPr>
          <w:rFonts w:ascii="Times New Roman;Times;Serif" w:hAnsi="Times New Roman;Times;Serif"/>
          <w:b/>
          <w:i w:val="false"/>
          <w:caps w:val="false"/>
          <w:smallCaps w:val="false"/>
          <w:sz w:val="20"/>
          <w:u w:val="single"/>
        </w:rPr>
        <w:t xml:space="preserve">Rail Vision Ltd.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UNAUDITED INTERIM CONDENSED CONSOLIDATED STATEMENTS OF CHANGES IN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data and per share data)</w:t>
      </w:r>
    </w:p>
    <w:p>
      <w:pPr>
        <w:pStyle w:val="TextBody"/>
        <w:bidi w:val="0"/>
        <w:spacing w:before="0" w:after="0"/>
        <w:ind w:left="0" w:right="0" w:firstLine="567"/>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2" w:name="xdx_307_114_pn3n3_z3FinsXqwcH7"/>
      <w:bookmarkStart w:id="73" w:name="xdx_307_114_pn3n3_z3FinsXqwcH7"/>
      <w:bookmarkEnd w:id="73"/>
    </w:p>
    <w:tbl>
      <w:tblPr>
        <w:tblW w:w="10205" w:type="dxa"/>
        <w:jc w:val="left"/>
        <w:tblInd w:w="0" w:type="dxa"/>
        <w:tblLayout w:type="fixed"/>
        <w:tblCellMar>
          <w:top w:w="0" w:type="dxa"/>
          <w:left w:w="0" w:type="dxa"/>
          <w:bottom w:w="0" w:type="dxa"/>
          <w:right w:w="0" w:type="dxa"/>
        </w:tblCellMar>
      </w:tblPr>
      <w:tblGrid>
        <w:gridCol w:w="1562"/>
        <w:gridCol w:w="60"/>
        <w:gridCol w:w="61"/>
        <w:gridCol w:w="999"/>
        <w:gridCol w:w="60"/>
        <w:gridCol w:w="60"/>
        <w:gridCol w:w="96"/>
        <w:gridCol w:w="419"/>
        <w:gridCol w:w="60"/>
        <w:gridCol w:w="60"/>
        <w:gridCol w:w="76"/>
        <w:gridCol w:w="1024"/>
        <w:gridCol w:w="60"/>
        <w:gridCol w:w="60"/>
        <w:gridCol w:w="88"/>
        <w:gridCol w:w="1300"/>
        <w:gridCol w:w="95"/>
        <w:gridCol w:w="60"/>
        <w:gridCol w:w="116"/>
        <w:gridCol w:w="1331"/>
        <w:gridCol w:w="95"/>
        <w:gridCol w:w="60"/>
        <w:gridCol w:w="112"/>
        <w:gridCol w:w="1274"/>
        <w:gridCol w:w="95"/>
        <w:gridCol w:w="60"/>
        <w:gridCol w:w="60"/>
        <w:gridCol w:w="687"/>
        <w:gridCol w:w="115"/>
      </w:tblGrid>
      <w:tr>
        <w:trPr/>
        <w:tc>
          <w:tcPr>
            <w:tcW w:w="15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jc w:val="center"/>
              <w:rPr>
                <w:b/>
              </w:rPr>
            </w:pPr>
            <w:r>
              <w:rPr>
                <w:b/>
              </w:rPr>
              <w:t>Number of shares</w:t>
            </w:r>
          </w:p>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 w:name="xdx_4B9_us-gaap--StatementEquityComponen"/>
            <w:bookmarkEnd w:id="74"/>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 w:name="xdx_4B3_us-gaap--StatementEquityComponen"/>
            <w:bookmarkEnd w:id="75"/>
          </w:p>
        </w:tc>
        <w:tc>
          <w:tcPr>
            <w:tcW w:w="1100" w:type="dxa"/>
            <w:gridSpan w:val="2"/>
            <w:tcBorders>
              <w:bottom w:val="single" w:sz="8" w:space="0" w:color="000000"/>
            </w:tcBorders>
            <w:tcMar>
              <w:bottom w:w="28" w:type="dxa"/>
            </w:tcMar>
            <w:vAlign w:val="center"/>
          </w:tcPr>
          <w:p>
            <w:pPr>
              <w:pStyle w:val="TableContents"/>
              <w:bidi w:val="0"/>
              <w:jc w:val="center"/>
              <w:rPr>
                <w:b/>
              </w:rPr>
            </w:pPr>
            <w:r>
              <w:rPr>
                <w:b/>
              </w:rPr>
              <w:t>Additional</w:t>
            </w:r>
          </w:p>
          <w:p>
            <w:pPr>
              <w:pStyle w:val="TableContents"/>
              <w:bidi w:val="0"/>
              <w:jc w:val="center"/>
              <w:rPr>
                <w:b/>
              </w:rPr>
            </w:pPr>
            <w:r>
              <w:rPr>
                <w:b/>
              </w:rPr>
              <w:t>paid in</w:t>
            </w:r>
          </w:p>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 w:name="xdx_4B5_us-gaap--StatementEquityComponen"/>
            <w:bookmarkEnd w:id="76"/>
          </w:p>
        </w:tc>
        <w:tc>
          <w:tcPr>
            <w:tcW w:w="13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 w:name="xdx_4BA_us-gaap--StatementEquityComponen"/>
            <w:bookmarkEnd w:id="77"/>
          </w:p>
        </w:tc>
        <w:tc>
          <w:tcPr>
            <w:tcW w:w="14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Vision Ltd. shareholders’ 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8" w:name="xdx_4BA_us-gaap--StatementEquityComponen"/>
            <w:bookmarkEnd w:id="78"/>
          </w:p>
        </w:tc>
        <w:tc>
          <w:tcPr>
            <w:tcW w:w="1386"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 w:name="xdx_4BF_z7EM8HJCZrYl"/>
            <w:bookmarkEnd w:id="79"/>
          </w:p>
        </w:tc>
        <w:tc>
          <w:tcPr>
            <w:tcW w:w="74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115" w:type="dxa"/>
            <w:tcBorders/>
            <w:vAlign w:val="center"/>
          </w:tcPr>
          <w:p>
            <w:pPr>
              <w:pStyle w:val="TableContents"/>
              <w:bidi w:val="0"/>
              <w:spacing w:before="0" w:after="283"/>
              <w:jc w:val="left"/>
              <w:rPr/>
            </w:pPr>
            <w:r>
              <w:rPr/>
              <w:t> </w:t>
            </w:r>
          </w:p>
        </w:tc>
      </w:tr>
      <w:tr>
        <w:trPr/>
        <w:tc>
          <w:tcPr>
            <w:tcW w:w="15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Ordinary 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7" w:type="dxa"/>
            <w:gridSpan w:val="2"/>
            <w:tcBorders/>
            <w:vAlign w:val="center"/>
          </w:tcPr>
          <w:p>
            <w:pPr>
              <w:pStyle w:val="TableContents"/>
              <w:bidi w:val="0"/>
              <w:spacing w:before="0" w:after="283"/>
              <w:jc w:val="center"/>
              <w:rPr>
                <w:b/>
              </w:rPr>
            </w:pPr>
            <w:r>
              <w:rPr>
                <w:b/>
              </w:rPr>
              <w:t>Total Rail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6"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7" w:type="dxa"/>
            <w:gridSpan w:val="2"/>
            <w:tcBorders/>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left"/>
              <w:rPr/>
            </w:pPr>
            <w:r>
              <w:rPr/>
              <w:t> </w:t>
            </w:r>
          </w:p>
        </w:tc>
      </w:tr>
      <w:tr>
        <w:trPr/>
        <w:tc>
          <w:tcPr>
            <w:tcW w:w="15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jc w:val="center"/>
              <w:rPr>
                <w:b/>
              </w:rPr>
            </w:pPr>
            <w:r>
              <w:rPr>
                <w:b/>
              </w:rPr>
              <w:t>Number of shares</w:t>
            </w:r>
          </w:p>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jc w:val="center"/>
              <w:rPr>
                <w:b/>
              </w:rPr>
            </w:pPr>
            <w:r>
              <w:rPr>
                <w:b/>
              </w:rPr>
              <w:t>Additional</w:t>
            </w:r>
          </w:p>
          <w:p>
            <w:pPr>
              <w:pStyle w:val="TableContents"/>
              <w:bidi w:val="0"/>
              <w:jc w:val="center"/>
              <w:rPr>
                <w:b/>
              </w:rPr>
            </w:pPr>
            <w:r>
              <w:rPr>
                <w:b/>
              </w:rPr>
              <w:t>paid in</w:t>
            </w:r>
          </w:p>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Vision Ltd. shareholders’ 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115" w:type="dxa"/>
            <w:tcBorders/>
            <w:vAlign w:val="center"/>
          </w:tcPr>
          <w:p>
            <w:pPr>
              <w:pStyle w:val="TableContents"/>
              <w:bidi w:val="0"/>
              <w:spacing w:before="0" w:after="283"/>
              <w:jc w:val="left"/>
              <w:rPr/>
            </w:pPr>
            <w:r>
              <w:rPr/>
              <w:t> </w:t>
            </w:r>
            <w:bookmarkStart w:id="80" w:name="xdx_43B_c20260101__20260630_eus-gaap--St"/>
            <w:bookmarkEnd w:id="80"/>
          </w:p>
        </w:tc>
      </w:tr>
      <w:tr>
        <w:trPr/>
        <w:tc>
          <w:tcPr>
            <w:tcW w:w="1562" w:type="dxa"/>
            <w:tcBorders/>
            <w:shd w:fill="CCEEFF" w:val="clear"/>
            <w:vAlign w:val="center"/>
          </w:tcPr>
          <w:p>
            <w:pPr>
              <w:pStyle w:val="TableContents"/>
              <w:bidi w:val="0"/>
              <w:spacing w:before="0" w:after="283"/>
              <w:jc w:val="left"/>
              <w:rPr>
                <w:b/>
              </w:rPr>
            </w:pPr>
            <w:r>
              <w:rPr>
                <w:b/>
              </w:rPr>
              <w:t>Balance as of January 1, 2026</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81" w:name="xdx_989_eus-gaap--SharesOutstanding_iS_p"/>
            <w:bookmarkEnd w:id="81"/>
          </w:p>
        </w:tc>
        <w:tc>
          <w:tcPr>
            <w:tcW w:w="999" w:type="dxa"/>
            <w:tcBorders/>
            <w:shd w:fill="CCEEFF" w:val="clear"/>
            <w:vAlign w:val="center"/>
          </w:tcPr>
          <w:p>
            <w:pPr>
              <w:pStyle w:val="TableContents"/>
              <w:bidi w:val="0"/>
              <w:spacing w:before="0" w:after="283"/>
              <w:jc w:val="right"/>
              <w:rPr/>
            </w:pPr>
            <w:r>
              <w:rPr/>
              <w:t>2,014,263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128,104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(107,770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20,334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20,334</w:t>
            </w:r>
          </w:p>
        </w:tc>
        <w:tc>
          <w:tcPr>
            <w:tcW w:w="115" w:type="dxa"/>
            <w:tcBorders/>
            <w:shd w:fill="CCEEFF" w:val="clear"/>
            <w:vAlign w:val="center"/>
          </w:tcPr>
          <w:p>
            <w:pPr>
              <w:pStyle w:val="TableContents"/>
              <w:bidi w:val="0"/>
              <w:spacing w:before="0" w:after="283"/>
              <w:jc w:val="left"/>
              <w:rPr/>
            </w:pPr>
            <w:r>
              <w:rPr/>
              <w:t> </w:t>
            </w:r>
            <w:bookmarkStart w:id="82" w:name="xdx_40E_eus-gaap--StockIssuedDuringPerio"/>
            <w:bookmarkEnd w:id="82"/>
          </w:p>
        </w:tc>
      </w:tr>
      <w:tr>
        <w:trPr/>
        <w:tc>
          <w:tcPr>
            <w:tcW w:w="1562" w:type="dxa"/>
            <w:tcBorders/>
            <w:shd w:fill="FFFFFF" w:val="clear"/>
            <w:vAlign w:val="center"/>
          </w:tcPr>
          <w:p>
            <w:pPr>
              <w:pStyle w:val="TableContents"/>
              <w:bidi w:val="0"/>
              <w:spacing w:before="0" w:after="283"/>
              <w:jc w:val="left"/>
              <w:rPr/>
            </w:pPr>
            <w:r>
              <w:rPr/>
              <w:t>Acquisition of Quantum Transportation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bookmarkStart w:id="83" w:name="xdx_906_eus-gaap--StockIssuedDuringPerio"/>
            <w:bookmarkEnd w:id="83"/>
            <w:r>
              <w:rPr/>
              <w:t>99,424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1,073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1,128</w:t>
            </w:r>
          </w:p>
        </w:tc>
        <w:tc>
          <w:tcPr>
            <w:tcW w:w="115" w:type="dxa"/>
            <w:tcBorders/>
            <w:shd w:fill="FFFFFF" w:val="clear"/>
            <w:vAlign w:val="center"/>
          </w:tcPr>
          <w:p>
            <w:pPr>
              <w:pStyle w:val="TableContents"/>
              <w:bidi w:val="0"/>
              <w:spacing w:before="0" w:after="283"/>
              <w:jc w:val="left"/>
              <w:rPr/>
            </w:pPr>
            <w:r>
              <w:rPr/>
              <w:t> </w:t>
            </w:r>
            <w:bookmarkStart w:id="84" w:name="xdx_40C_eus-gaap--StockIssuedDuringPerio"/>
            <w:bookmarkEnd w:id="84"/>
          </w:p>
        </w:tc>
      </w:tr>
      <w:tr>
        <w:trPr/>
        <w:tc>
          <w:tcPr>
            <w:tcW w:w="1562" w:type="dxa"/>
            <w:tcBorders/>
            <w:shd w:fill="CCEEFF" w:val="clear"/>
            <w:vAlign w:val="center"/>
          </w:tcPr>
          <w:p>
            <w:pPr>
              <w:pStyle w:val="TableContents"/>
              <w:bidi w:val="0"/>
              <w:spacing w:before="0" w:after="283"/>
              <w:jc w:val="left"/>
              <w:rPr/>
            </w:pPr>
            <w:r>
              <w:rPr/>
              <w:t xml:space="preserve">Issuance of ordinary shares in relation to the ATM, net of issuance costs </w:t>
            </w:r>
            <w:bookmarkStart w:id="85" w:name="xdx_F4A_zs3pEMxzSd4b"/>
            <w:bookmarkEnd w:id="85"/>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bookmarkStart w:id="86" w:name="xdx_90F_eus-gaap--StockIssuedDuringPerio"/>
            <w:bookmarkEnd w:id="86"/>
            <w:r>
              <w:rPr/>
              <w:t>125,403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1,083</w:t>
            </w:r>
          </w:p>
        </w:tc>
        <w:tc>
          <w:tcPr>
            <w:tcW w:w="115" w:type="dxa"/>
            <w:tcBorders/>
            <w:shd w:fill="CCEEFF" w:val="clear"/>
            <w:vAlign w:val="center"/>
          </w:tcPr>
          <w:p>
            <w:pPr>
              <w:pStyle w:val="TableContents"/>
              <w:bidi w:val="0"/>
              <w:spacing w:before="0" w:after="283"/>
              <w:jc w:val="left"/>
              <w:rPr/>
            </w:pPr>
            <w:r>
              <w:rPr/>
              <w:t> </w:t>
            </w:r>
            <w:bookmarkStart w:id="87" w:name="xdx_402_eus-gaap--StockIssuedDuringPerio"/>
            <w:bookmarkEnd w:id="87"/>
          </w:p>
        </w:tc>
      </w:tr>
      <w:tr>
        <w:trPr/>
        <w:tc>
          <w:tcPr>
            <w:tcW w:w="1562" w:type="dxa"/>
            <w:tcBorders/>
            <w:shd w:fill="FFFFFF" w:val="clear"/>
            <w:vAlign w:val="center"/>
          </w:tcPr>
          <w:p>
            <w:pPr>
              <w:pStyle w:val="TableContents"/>
              <w:bidi w:val="0"/>
              <w:spacing w:before="0" w:after="283"/>
              <w:jc w:val="left"/>
              <w:rPr/>
            </w:pPr>
            <w:r>
              <w:rPr/>
              <w:t>Vesting of restricted stock units (RSUs)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88" w:name="xdx_98B_eus-gaap--StockIssuedDuringPerio"/>
            <w:bookmarkEnd w:id="88"/>
          </w:p>
        </w:tc>
        <w:tc>
          <w:tcPr>
            <w:tcW w:w="999" w:type="dxa"/>
            <w:tcBorders/>
            <w:shd w:fill="FFFFFF" w:val="clear"/>
            <w:vAlign w:val="center"/>
          </w:tcPr>
          <w:p>
            <w:pPr>
              <w:pStyle w:val="TableContents"/>
              <w:bidi w:val="0"/>
              <w:spacing w:before="0" w:after="283"/>
              <w:jc w:val="right"/>
              <w:rPr/>
            </w:pPr>
            <w:r>
              <w:rPr/>
              <w:t>42,239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531</w:t>
            </w:r>
          </w:p>
        </w:tc>
        <w:tc>
          <w:tcPr>
            <w:tcW w:w="115" w:type="dxa"/>
            <w:tcBorders/>
            <w:shd w:fill="FFFFFF" w:val="clear"/>
            <w:vAlign w:val="center"/>
          </w:tcPr>
          <w:p>
            <w:pPr>
              <w:pStyle w:val="TableContents"/>
              <w:bidi w:val="0"/>
              <w:spacing w:before="0" w:after="283"/>
              <w:jc w:val="left"/>
              <w:rPr/>
            </w:pPr>
            <w:r>
              <w:rPr/>
              <w:t> </w:t>
            </w:r>
            <w:bookmarkStart w:id="89" w:name="xdx_401_eus-gaap--AdjustmentsToAdditiona"/>
            <w:bookmarkEnd w:id="89"/>
          </w:p>
        </w:tc>
      </w:tr>
      <w:tr>
        <w:trPr/>
        <w:tc>
          <w:tcPr>
            <w:tcW w:w="1562" w:type="dxa"/>
            <w:tcBorders/>
            <w:shd w:fill="CCEEFF" w:val="clear"/>
            <w:vAlign w:val="center"/>
          </w:tcPr>
          <w:p>
            <w:pPr>
              <w:pStyle w:val="TableContents"/>
              <w:bidi w:val="0"/>
              <w:spacing w:before="0" w:after="283"/>
              <w:jc w:val="left"/>
              <w:rPr/>
            </w:pPr>
            <w:r>
              <w:rPr/>
              <w:t>Share-based payment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25</w:t>
            </w:r>
          </w:p>
        </w:tc>
        <w:tc>
          <w:tcPr>
            <w:tcW w:w="115" w:type="dxa"/>
            <w:tcBorders/>
            <w:shd w:fill="CCEEFF" w:val="clear"/>
            <w:vAlign w:val="center"/>
          </w:tcPr>
          <w:p>
            <w:pPr>
              <w:pStyle w:val="TableContents"/>
              <w:bidi w:val="0"/>
              <w:spacing w:before="0" w:after="283"/>
              <w:jc w:val="left"/>
              <w:rPr/>
            </w:pPr>
            <w:r>
              <w:rPr/>
              <w:t> </w:t>
            </w:r>
            <w:bookmarkStart w:id="90" w:name="xdx_408_eus-gaap--ProfitLoss_pn3n3_z7QYn"/>
            <w:bookmarkEnd w:id="90"/>
          </w:p>
        </w:tc>
      </w:tr>
      <w:tr>
        <w:trPr/>
        <w:tc>
          <w:tcPr>
            <w:tcW w:w="156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1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(7,255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1" w:type="dxa"/>
            <w:tcBorders>
              <w:bottom w:val="single" w:sz="8" w:space="0" w:color="000000"/>
            </w:tcBorders>
            <w:shd w:fill="FFFFFF" w:val="clear"/>
            <w:tcMar>
              <w:bottom w:w="28" w:type="dxa"/>
            </w:tcMar>
            <w:vAlign w:val="center"/>
          </w:tcPr>
          <w:p>
            <w:pPr>
              <w:pStyle w:val="TableContents"/>
              <w:bidi w:val="0"/>
              <w:spacing w:before="0" w:after="283"/>
              <w:jc w:val="right"/>
              <w:rPr/>
            </w:pPr>
            <w:r>
              <w:rPr/>
              <w:t>(7,255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bidi w:val="0"/>
              <w:spacing w:before="0" w:after="283"/>
              <w:jc w:val="right"/>
              <w:rPr/>
            </w:pPr>
            <w:r>
              <w:rPr/>
              <w:t>(7,310</w:t>
            </w:r>
          </w:p>
        </w:tc>
        <w:tc>
          <w:tcPr>
            <w:tcW w:w="115" w:type="dxa"/>
            <w:tcBorders/>
            <w:shd w:fill="FFFFFF" w:val="clear"/>
            <w:vAlign w:val="center"/>
          </w:tcPr>
          <w:p>
            <w:pPr>
              <w:pStyle w:val="TableContents"/>
              <w:bidi w:val="0"/>
              <w:spacing w:before="0" w:after="283"/>
              <w:jc w:val="left"/>
              <w:rPr/>
            </w:pPr>
            <w:r>
              <w:rPr/>
              <w:t>)</w:t>
            </w:r>
            <w:bookmarkStart w:id="91" w:name="xdx_43C_c20260101__20260630_eus-gaap--St"/>
            <w:bookmarkEnd w:id="91"/>
          </w:p>
        </w:tc>
      </w:tr>
      <w:tr>
        <w:trPr/>
        <w:tc>
          <w:tcPr>
            <w:tcW w:w="1562" w:type="dxa"/>
            <w:tcBorders/>
            <w:shd w:fill="CCEEFF" w:val="clear"/>
            <w:vAlign w:val="center"/>
          </w:tcPr>
          <w:p>
            <w:pPr>
              <w:pStyle w:val="TableContents"/>
              <w:bidi w:val="0"/>
              <w:spacing w:before="0" w:after="283"/>
              <w:jc w:val="left"/>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2" w:name="xdx_98A_eus-gaap--SharesOutstanding_iE_p"/>
            <w:bookmarkEnd w:id="92"/>
          </w:p>
        </w:tc>
        <w:tc>
          <w:tcPr>
            <w:tcW w:w="999" w:type="dxa"/>
            <w:tcBorders>
              <w:bottom w:val="double" w:sz="6" w:space="0" w:color="000000"/>
            </w:tcBorders>
            <w:shd w:fill="CCEEFF" w:val="clear"/>
            <w:tcMar>
              <w:bottom w:w="28" w:type="dxa"/>
            </w:tcMar>
            <w:vAlign w:val="center"/>
          </w:tcPr>
          <w:p>
            <w:pPr>
              <w:pStyle w:val="TableContents"/>
              <w:bidi w:val="0"/>
              <w:spacing w:before="0" w:after="283"/>
              <w:jc w:val="right"/>
              <w:rPr/>
            </w:pPr>
            <w:r>
              <w:rPr/>
              <w:t>2,281,329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1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6" w:space="0" w:color="000000"/>
            </w:tcBorders>
            <w:shd w:fill="CCEEFF" w:val="clear"/>
            <w:tcMar>
              <w:bottom w:w="28" w:type="dxa"/>
            </w:tcMar>
            <w:vAlign w:val="center"/>
          </w:tcPr>
          <w:p>
            <w:pPr>
              <w:pStyle w:val="TableContents"/>
              <w:bidi w:val="0"/>
              <w:spacing w:before="0" w:after="283"/>
              <w:jc w:val="right"/>
              <w:rPr/>
            </w:pPr>
            <w:r>
              <w:rPr/>
              <w:t>130,816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r>
              <w:rPr/>
              <w:t>(115,025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double" w:sz="6" w:space="0" w:color="000000"/>
            </w:tcBorders>
            <w:shd w:fill="CCEEFF" w:val="clear"/>
            <w:tcMar>
              <w:bottom w:w="28" w:type="dxa"/>
            </w:tcMar>
            <w:vAlign w:val="center"/>
          </w:tcPr>
          <w:p>
            <w:pPr>
              <w:pStyle w:val="TableContents"/>
              <w:bidi w:val="0"/>
              <w:spacing w:before="0" w:after="283"/>
              <w:jc w:val="right"/>
              <w:rPr/>
            </w:pPr>
            <w:r>
              <w:rPr/>
              <w:t>15,791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7" w:type="dxa"/>
            <w:tcBorders>
              <w:bottom w:val="double" w:sz="6" w:space="0" w:color="000000"/>
            </w:tcBorders>
            <w:shd w:fill="CCEEFF" w:val="clear"/>
            <w:tcMar>
              <w:bottom w:w="28" w:type="dxa"/>
            </w:tcMar>
            <w:vAlign w:val="center"/>
          </w:tcPr>
          <w:p>
            <w:pPr>
              <w:pStyle w:val="TableContents"/>
              <w:bidi w:val="0"/>
              <w:spacing w:before="0" w:after="283"/>
              <w:jc w:val="right"/>
              <w:rPr/>
            </w:pPr>
            <w:r>
              <w:rPr/>
              <w:t>15,791</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67"/>
        <w:jc w:val="left"/>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260"/>
        <w:gridCol w:w="23"/>
        <w:gridCol w:w="536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93" w:name="xdx_F0C_zLPDTkXwU656"/>
            <w:bookmarkEnd w:id="93"/>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5360" w:type="dxa"/>
            <w:tcBorders/>
            <w:vAlign w:val="center"/>
          </w:tcPr>
          <w:p>
            <w:pPr>
              <w:pStyle w:val="TableContents"/>
              <w:bidi w:val="0"/>
              <w:spacing w:before="0" w:after="283"/>
              <w:jc w:val="both"/>
              <w:rPr>
                <w:rFonts w:ascii="Times New Roman;Times;Serif" w:hAnsi="Times New Roman;Times;Serif"/>
                <w:sz w:val="20"/>
              </w:rPr>
            </w:pPr>
            <w:bookmarkStart w:id="94" w:name="xdx_F1F_zYPqvqFTymij"/>
            <w:bookmarkEnd w:id="94"/>
            <w:r>
              <w:rPr>
                <w:rFonts w:ascii="Times New Roman;Times;Serif" w:hAnsi="Times New Roman;Times;Serif"/>
                <w:sz w:val="20"/>
              </w:rPr>
              <w:t>Issuance costs in the amount of approximately $</w:t>
            </w:r>
            <w:bookmarkStart w:id="95" w:name="xdx_905_eus-gaap--PaymentsOfStockIssuanc"/>
            <w:bookmarkEnd w:id="95"/>
            <w:r>
              <w:rPr>
                <w:rFonts w:ascii="Times New Roman;Times;Serif" w:hAnsi="Times New Roman;Times;Serif"/>
                <w:sz w:val="20"/>
              </w:rPr>
              <w:t>41. (See Note 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96" w:name="sp_004"/>
      <w:bookmarkEnd w:id="96"/>
      <w:r>
        <w:rPr>
          <w:rFonts w:ascii="Times New Roman;Times;Serif" w:hAnsi="Times New Roman;Times;Serif"/>
          <w:b/>
          <w:i w:val="false"/>
          <w:caps w:val="false"/>
          <w:smallCaps w:val="false"/>
          <w:sz w:val="20"/>
          <w:u w:val="single"/>
        </w:rPr>
        <w:t xml:space="preserve">Rail Vision Ltd.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UNAUDITED INTERIM CONDENSED CONSOLIDATED STATEMENTS OF CHANGES IN SHAREHOLDERS’ EQUITY (Cont.)</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data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94"/>
        <w:gridCol w:w="60"/>
        <w:gridCol w:w="62"/>
        <w:gridCol w:w="1019"/>
        <w:gridCol w:w="60"/>
        <w:gridCol w:w="60"/>
        <w:gridCol w:w="96"/>
        <w:gridCol w:w="419"/>
        <w:gridCol w:w="60"/>
        <w:gridCol w:w="60"/>
        <w:gridCol w:w="76"/>
        <w:gridCol w:w="1024"/>
        <w:gridCol w:w="60"/>
        <w:gridCol w:w="60"/>
        <w:gridCol w:w="87"/>
        <w:gridCol w:w="1283"/>
        <w:gridCol w:w="95"/>
        <w:gridCol w:w="60"/>
        <w:gridCol w:w="109"/>
        <w:gridCol w:w="1249"/>
        <w:gridCol w:w="112"/>
      </w:tblGrid>
      <w:tr>
        <w:trPr/>
        <w:tc>
          <w:tcPr>
            <w:tcW w:w="40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center"/>
          </w:tcPr>
          <w:p>
            <w:pPr>
              <w:pStyle w:val="TableContents"/>
              <w:bidi w:val="0"/>
              <w:jc w:val="center"/>
              <w:rPr>
                <w:b/>
              </w:rPr>
            </w:pPr>
            <w:r>
              <w:rPr>
                <w:b/>
              </w:rPr>
              <w:t>Number of</w:t>
            </w:r>
          </w:p>
          <w:p>
            <w:pPr>
              <w:pStyle w:val="TableContents"/>
              <w:bidi w:val="0"/>
              <w:spacing w:before="0" w:after="283"/>
              <w:jc w:val="center"/>
              <w:rPr>
                <w:b/>
              </w:rPr>
            </w:pPr>
            <w:r>
              <w:rPr>
                <w:b/>
              </w:rPr>
              <w:t>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7" w:name="xdx_4B9_us-gaap--StatementEquityComponen"/>
            <w:bookmarkEnd w:id="97"/>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8" w:name="xdx_4B3_us-gaap--StatementEquityComponen"/>
            <w:bookmarkEnd w:id="98"/>
          </w:p>
        </w:tc>
        <w:tc>
          <w:tcPr>
            <w:tcW w:w="1100" w:type="dxa"/>
            <w:gridSpan w:val="2"/>
            <w:tcBorders>
              <w:bottom w:val="single" w:sz="8" w:space="0" w:color="000000"/>
            </w:tcBorders>
            <w:tcMar>
              <w:bottom w:w="28" w:type="dxa"/>
            </w:tcMar>
            <w:vAlign w:val="center"/>
          </w:tcPr>
          <w:p>
            <w:pPr>
              <w:pStyle w:val="TableContents"/>
              <w:bidi w:val="0"/>
              <w:jc w:val="center"/>
              <w:rPr>
                <w:b/>
              </w:rPr>
            </w:pPr>
            <w:r>
              <w:rPr>
                <w:b/>
              </w:rPr>
              <w:t>paid in</w:t>
            </w:r>
          </w:p>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 w:name="xdx_4B5_us-gaap--StatementEquityComponen"/>
            <w:bookmarkEnd w:id="99"/>
          </w:p>
        </w:tc>
        <w:tc>
          <w:tcPr>
            <w:tcW w:w="1370" w:type="dxa"/>
            <w:gridSpan w:val="2"/>
            <w:tcBorders>
              <w:bottom w:val="single" w:sz="8" w:space="0" w:color="000000"/>
            </w:tcBorders>
            <w:tcMar>
              <w:bottom w:w="28" w:type="dxa"/>
            </w:tcMar>
            <w:vAlign w:val="center"/>
          </w:tcPr>
          <w:p>
            <w:pPr>
              <w:pStyle w:val="TableContents"/>
              <w:bidi w:val="0"/>
              <w:jc w:val="center"/>
              <w:rPr>
                <w:b/>
              </w:rPr>
            </w:pPr>
            <w:r>
              <w:rPr>
                <w:b/>
              </w:rPr>
              <w:t>Accumulated</w:t>
            </w:r>
          </w:p>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0" w:name="xdx_4BA_zlY4ZX5Fbfu6"/>
            <w:bookmarkEnd w:id="100"/>
          </w:p>
        </w:tc>
        <w:tc>
          <w:tcPr>
            <w:tcW w:w="1358" w:type="dxa"/>
            <w:gridSpan w:val="2"/>
            <w:tcBorders>
              <w:bottom w:val="single" w:sz="8" w:space="0" w:color="000000"/>
            </w:tcBorders>
            <w:tcMar>
              <w:bottom w:w="28" w:type="dxa"/>
            </w:tcMar>
            <w:vAlign w:val="center"/>
          </w:tcPr>
          <w:p>
            <w:pPr>
              <w:pStyle w:val="TableContents"/>
              <w:bidi w:val="0"/>
              <w:jc w:val="center"/>
              <w:rPr>
                <w:b/>
              </w:rPr>
            </w:pPr>
            <w:r>
              <w:rPr>
                <w:b/>
              </w:rPr>
              <w:t>shareholders’</w:t>
            </w:r>
          </w:p>
          <w:p>
            <w:pPr>
              <w:pStyle w:val="TableContents"/>
              <w:bidi w:val="0"/>
              <w:spacing w:before="0" w:after="283"/>
              <w:jc w:val="center"/>
              <w:rPr>
                <w:b/>
              </w:rPr>
            </w:pPr>
            <w:r>
              <w:rPr>
                <w:b/>
              </w:rPr>
              <w:t>equity</w:t>
            </w:r>
          </w:p>
        </w:tc>
        <w:tc>
          <w:tcPr>
            <w:tcW w:w="112" w:type="dxa"/>
            <w:tcBorders/>
            <w:vAlign w:val="center"/>
          </w:tcPr>
          <w:p>
            <w:pPr>
              <w:pStyle w:val="TableContents"/>
              <w:bidi w:val="0"/>
              <w:spacing w:before="0" w:after="283"/>
              <w:jc w:val="left"/>
              <w:rPr/>
            </w:pPr>
            <w:r>
              <w:rPr/>
              <w:t> </w:t>
            </w:r>
          </w:p>
        </w:tc>
      </w:tr>
      <w:tr>
        <w:trPr/>
        <w:tc>
          <w:tcPr>
            <w:tcW w:w="40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Ordinary 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vAlign w:val="center"/>
          </w:tcPr>
          <w:p>
            <w:pPr>
              <w:pStyle w:val="TableContents"/>
              <w:bidi w:val="0"/>
              <w:jc w:val="center"/>
              <w:rPr>
                <w:b/>
              </w:rPr>
            </w:pPr>
            <w:r>
              <w:rPr>
                <w:b/>
              </w:rPr>
              <w:t>Total Rail</w:t>
            </w:r>
          </w:p>
          <w:p>
            <w:pPr>
              <w:pStyle w:val="TableContents"/>
              <w:bidi w:val="0"/>
              <w:spacing w:before="0" w:after="283"/>
              <w:jc w:val="center"/>
              <w:rPr>
                <w:b/>
              </w:rPr>
            </w:pPr>
            <w:r>
              <w:rPr>
                <w:b/>
              </w:rPr>
              <w:t>Vision Ltd.</w:t>
            </w:r>
          </w:p>
        </w:tc>
        <w:tc>
          <w:tcPr>
            <w:tcW w:w="112" w:type="dxa"/>
            <w:tcBorders/>
            <w:vAlign w:val="center"/>
          </w:tcPr>
          <w:p>
            <w:pPr>
              <w:pStyle w:val="TableContents"/>
              <w:bidi w:val="0"/>
              <w:spacing w:before="0" w:after="283"/>
              <w:jc w:val="left"/>
              <w:rPr/>
            </w:pPr>
            <w:r>
              <w:rPr/>
              <w:t> </w:t>
            </w:r>
          </w:p>
        </w:tc>
      </w:tr>
      <w:tr>
        <w:trPr/>
        <w:tc>
          <w:tcPr>
            <w:tcW w:w="40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center"/>
          </w:tcPr>
          <w:p>
            <w:pPr>
              <w:pStyle w:val="TableContents"/>
              <w:bidi w:val="0"/>
              <w:jc w:val="center"/>
              <w:rPr>
                <w:b/>
              </w:rPr>
            </w:pPr>
            <w:r>
              <w:rPr>
                <w:b/>
              </w:rPr>
              <w:t>Number of</w:t>
            </w:r>
          </w:p>
          <w:p>
            <w:pPr>
              <w:pStyle w:val="TableContents"/>
              <w:bidi w:val="0"/>
              <w:spacing w:before="0" w:after="283"/>
              <w:jc w:val="center"/>
              <w:rPr>
                <w:b/>
              </w:rPr>
            </w:pPr>
            <w:r>
              <w:rPr>
                <w:b/>
              </w:rPr>
              <w:t>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jc w:val="center"/>
              <w:rPr>
                <w:b/>
              </w:rPr>
            </w:pPr>
            <w:r>
              <w:rPr>
                <w:b/>
              </w:rPr>
              <w:t>paid in</w:t>
            </w:r>
          </w:p>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jc w:val="center"/>
              <w:rPr>
                <w:b/>
              </w:rPr>
            </w:pPr>
            <w:r>
              <w:rPr>
                <w:b/>
              </w:rPr>
              <w:t>Accumulated</w:t>
            </w:r>
          </w:p>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jc w:val="center"/>
              <w:rPr>
                <w:b/>
              </w:rPr>
            </w:pPr>
            <w:r>
              <w:rPr>
                <w:b/>
              </w:rPr>
              <w:t>shareholders’</w:t>
            </w:r>
          </w:p>
          <w:p>
            <w:pPr>
              <w:pStyle w:val="TableContents"/>
              <w:bidi w:val="0"/>
              <w:spacing w:before="0" w:after="283"/>
              <w:jc w:val="center"/>
              <w:rPr>
                <w:b/>
              </w:rPr>
            </w:pPr>
            <w:r>
              <w:rPr>
                <w:b/>
              </w:rPr>
              <w:t>equity</w:t>
            </w:r>
          </w:p>
        </w:tc>
        <w:tc>
          <w:tcPr>
            <w:tcW w:w="112" w:type="dxa"/>
            <w:tcBorders/>
            <w:vAlign w:val="center"/>
          </w:tcPr>
          <w:p>
            <w:pPr>
              <w:pStyle w:val="TableContents"/>
              <w:bidi w:val="0"/>
              <w:spacing w:before="0" w:after="283"/>
              <w:jc w:val="left"/>
              <w:rPr/>
            </w:pPr>
            <w:r>
              <w:rPr/>
              <w:t> </w:t>
            </w:r>
            <w:bookmarkStart w:id="101" w:name="xdx_435_c20250101__20250630_eus-gaap--St"/>
            <w:bookmarkEnd w:id="101"/>
          </w:p>
        </w:tc>
      </w:tr>
      <w:tr>
        <w:trPr/>
        <w:tc>
          <w:tcPr>
            <w:tcW w:w="4094" w:type="dxa"/>
            <w:tcBorders/>
            <w:shd w:fill="CCEEFF" w:val="clear"/>
            <w:vAlign w:val="center"/>
          </w:tcPr>
          <w:p>
            <w:pPr>
              <w:pStyle w:val="TableContents"/>
              <w:bidi w:val="0"/>
              <w:spacing w:before="0" w:after="283"/>
              <w:jc w:val="left"/>
              <w:rPr>
                <w:b/>
              </w:rPr>
            </w:pPr>
            <w:r>
              <w:rPr>
                <w:b/>
              </w:rPr>
              <w:t>Balance as of January 1, 2025</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02" w:name="xdx_98D_eus-gaap--SharesOutstanding_iS_p"/>
            <w:bookmarkEnd w:id="102"/>
          </w:p>
        </w:tc>
        <w:tc>
          <w:tcPr>
            <w:tcW w:w="1019" w:type="dxa"/>
            <w:tcBorders/>
            <w:shd w:fill="CCEEFF" w:val="clear"/>
            <w:vAlign w:val="center"/>
          </w:tcPr>
          <w:p>
            <w:pPr>
              <w:pStyle w:val="TableContents"/>
              <w:bidi w:val="0"/>
              <w:spacing w:before="0" w:after="283"/>
              <w:jc w:val="right"/>
              <w:rPr/>
            </w:pPr>
            <w:r>
              <w:rPr/>
              <w:t>1,264,757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114,372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(96,670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17,702</w:t>
            </w:r>
          </w:p>
        </w:tc>
        <w:tc>
          <w:tcPr>
            <w:tcW w:w="112" w:type="dxa"/>
            <w:tcBorders/>
            <w:shd w:fill="CCEEFF" w:val="clear"/>
            <w:vAlign w:val="center"/>
          </w:tcPr>
          <w:p>
            <w:pPr>
              <w:pStyle w:val="TableContents"/>
              <w:bidi w:val="0"/>
              <w:spacing w:before="0" w:after="283"/>
              <w:jc w:val="left"/>
              <w:rPr/>
            </w:pPr>
            <w:r>
              <w:rPr/>
              <w:t> </w:t>
            </w:r>
            <w:bookmarkStart w:id="103" w:name="xdx_408_ecustom--StockIssuedDuringPeriod"/>
            <w:bookmarkEnd w:id="103"/>
          </w:p>
        </w:tc>
      </w:tr>
      <w:tr>
        <w:trPr/>
        <w:tc>
          <w:tcPr>
            <w:tcW w:w="4094" w:type="dxa"/>
            <w:tcBorders/>
            <w:shd w:fill="FFFFFF" w:val="clear"/>
            <w:vAlign w:val="center"/>
          </w:tcPr>
          <w:p>
            <w:pPr>
              <w:pStyle w:val="TableContents"/>
              <w:bidi w:val="0"/>
              <w:spacing w:before="0" w:after="283"/>
              <w:jc w:val="left"/>
              <w:rPr/>
            </w:pPr>
            <w:r>
              <w:rPr/>
              <w:t xml:space="preserve">Issuance of shares as a result of exercise of warrants, net of issuance costs </w:t>
            </w:r>
            <w:bookmarkStart w:id="104" w:name="xdx_F4A_zIB61KwVADif"/>
            <w:bookmarkEnd w:id="104"/>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05" w:name="xdx_98E_ecustom--StockIssuedDuringPeriod"/>
            <w:bookmarkEnd w:id="105"/>
          </w:p>
        </w:tc>
        <w:tc>
          <w:tcPr>
            <w:tcW w:w="1019" w:type="dxa"/>
            <w:tcBorders/>
            <w:shd w:fill="FFFFFF" w:val="clear"/>
            <w:vAlign w:val="center"/>
          </w:tcPr>
          <w:p>
            <w:pPr>
              <w:pStyle w:val="TableContents"/>
              <w:bidi w:val="0"/>
              <w:spacing w:before="0" w:after="283"/>
              <w:jc w:val="right"/>
              <w:rPr/>
            </w:pPr>
            <w:r>
              <w:rPr/>
              <w:t>198,333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2,307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2,307</w:t>
            </w:r>
          </w:p>
        </w:tc>
        <w:tc>
          <w:tcPr>
            <w:tcW w:w="112" w:type="dxa"/>
            <w:tcBorders/>
            <w:shd w:fill="FFFFFF" w:val="clear"/>
            <w:vAlign w:val="center"/>
          </w:tcPr>
          <w:p>
            <w:pPr>
              <w:pStyle w:val="TableContents"/>
              <w:bidi w:val="0"/>
              <w:spacing w:before="0" w:after="283"/>
              <w:jc w:val="left"/>
              <w:rPr/>
            </w:pPr>
            <w:r>
              <w:rPr/>
              <w:t> </w:t>
            </w:r>
            <w:bookmarkStart w:id="106" w:name="xdx_405_eus-gaap--StockIssuedDuringPerio"/>
            <w:bookmarkEnd w:id="106"/>
          </w:p>
        </w:tc>
      </w:tr>
      <w:tr>
        <w:trPr/>
        <w:tc>
          <w:tcPr>
            <w:tcW w:w="4094" w:type="dxa"/>
            <w:tcBorders/>
            <w:shd w:fill="CCEEFF" w:val="clear"/>
            <w:vAlign w:val="center"/>
          </w:tcPr>
          <w:p>
            <w:pPr>
              <w:pStyle w:val="TableContents"/>
              <w:bidi w:val="0"/>
              <w:spacing w:before="0" w:after="283"/>
              <w:jc w:val="left"/>
              <w:rPr/>
            </w:pPr>
            <w:r>
              <w:rPr/>
              <w:t>Restricted Share Units vesting</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07" w:name="xdx_98D_eus-gaap--StockIssuedDuringPerio"/>
            <w:bookmarkEnd w:id="107"/>
          </w:p>
        </w:tc>
        <w:tc>
          <w:tcPr>
            <w:tcW w:w="1019" w:type="dxa"/>
            <w:tcBorders/>
            <w:shd w:fill="CCEEFF" w:val="clear"/>
            <w:vAlign w:val="center"/>
          </w:tcPr>
          <w:p>
            <w:pPr>
              <w:pStyle w:val="TableContents"/>
              <w:bidi w:val="0"/>
              <w:spacing w:before="0" w:after="283"/>
              <w:jc w:val="right"/>
              <w:rPr/>
            </w:pPr>
            <w:r>
              <w:rPr/>
              <w:t>35,600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390</w:t>
            </w:r>
          </w:p>
        </w:tc>
        <w:tc>
          <w:tcPr>
            <w:tcW w:w="112" w:type="dxa"/>
            <w:tcBorders/>
            <w:shd w:fill="CCEEFF" w:val="clear"/>
            <w:vAlign w:val="center"/>
          </w:tcPr>
          <w:p>
            <w:pPr>
              <w:pStyle w:val="TableContents"/>
              <w:bidi w:val="0"/>
              <w:spacing w:before="0" w:after="283"/>
              <w:jc w:val="left"/>
              <w:rPr/>
            </w:pPr>
            <w:r>
              <w:rPr/>
              <w:t> </w:t>
            </w:r>
            <w:bookmarkStart w:id="108" w:name="xdx_402_eus-gaap--StockIssuedDuringPerio"/>
            <w:bookmarkEnd w:id="108"/>
          </w:p>
        </w:tc>
      </w:tr>
      <w:tr>
        <w:trPr/>
        <w:tc>
          <w:tcPr>
            <w:tcW w:w="4094" w:type="dxa"/>
            <w:tcBorders/>
            <w:shd w:fill="CCEEFF" w:val="clear"/>
            <w:vAlign w:val="center"/>
          </w:tcPr>
          <w:p>
            <w:pPr>
              <w:pStyle w:val="TableContents"/>
              <w:bidi w:val="0"/>
              <w:spacing w:before="0" w:after="283"/>
              <w:jc w:val="left"/>
              <w:rPr/>
            </w:pPr>
            <w:r>
              <w:rPr/>
              <w:t>Vesting of restricted stock units (RSUs)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09" w:name="xdx_98E_eus-gaap--StockIssuedDuringPerio"/>
            <w:bookmarkEnd w:id="109"/>
          </w:p>
        </w:tc>
        <w:tc>
          <w:tcPr>
            <w:tcW w:w="1019" w:type="dxa"/>
            <w:tcBorders/>
            <w:shd w:fill="CCEEFF" w:val="clear"/>
            <w:vAlign w:val="center"/>
          </w:tcPr>
          <w:p>
            <w:pPr>
              <w:pStyle w:val="TableContents"/>
              <w:bidi w:val="0"/>
              <w:spacing w:before="0" w:after="283"/>
              <w:jc w:val="right"/>
              <w:rPr/>
            </w:pPr>
            <w:r>
              <w:rPr/>
              <w:t>35,600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390</w:t>
            </w:r>
          </w:p>
        </w:tc>
        <w:tc>
          <w:tcPr>
            <w:tcW w:w="112" w:type="dxa"/>
            <w:tcBorders/>
            <w:shd w:fill="CCEEFF" w:val="clear"/>
            <w:vAlign w:val="center"/>
          </w:tcPr>
          <w:p>
            <w:pPr>
              <w:pStyle w:val="TableContents"/>
              <w:bidi w:val="0"/>
              <w:spacing w:before="0" w:after="283"/>
              <w:jc w:val="left"/>
              <w:rPr/>
            </w:pPr>
            <w:r>
              <w:rPr/>
              <w:t> </w:t>
            </w:r>
            <w:bookmarkStart w:id="110" w:name="xdx_406_ecustom--StockIssuedDuringPeriod"/>
            <w:bookmarkEnd w:id="110"/>
          </w:p>
        </w:tc>
      </w:tr>
      <w:tr>
        <w:trPr/>
        <w:tc>
          <w:tcPr>
            <w:tcW w:w="4094" w:type="dxa"/>
            <w:tcBorders/>
            <w:shd w:fill="FFFFFF" w:val="clear"/>
            <w:vAlign w:val="center"/>
          </w:tcPr>
          <w:p>
            <w:pPr>
              <w:pStyle w:val="TableContents"/>
              <w:bidi w:val="0"/>
              <w:spacing w:before="0" w:after="283"/>
              <w:jc w:val="left"/>
              <w:rPr/>
            </w:pPr>
            <w:r>
              <w:rPr/>
              <w:t>Issuance of ordinary shares in relation to the SEPA</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11" w:name="xdx_98A_ecustom--StockIssuedDuringPeriod"/>
            <w:bookmarkEnd w:id="111"/>
          </w:p>
        </w:tc>
        <w:tc>
          <w:tcPr>
            <w:tcW w:w="1019" w:type="dxa"/>
            <w:tcBorders/>
            <w:shd w:fill="FFFFFF" w:val="clear"/>
            <w:vAlign w:val="center"/>
          </w:tcPr>
          <w:p>
            <w:pPr>
              <w:pStyle w:val="TableContents"/>
              <w:bidi w:val="0"/>
              <w:spacing w:before="0" w:after="283"/>
              <w:jc w:val="right"/>
              <w:rPr/>
            </w:pPr>
            <w:r>
              <w:rPr/>
              <w:t>269,810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7,917</w:t>
            </w:r>
          </w:p>
        </w:tc>
        <w:tc>
          <w:tcPr>
            <w:tcW w:w="112" w:type="dxa"/>
            <w:tcBorders/>
            <w:shd w:fill="FFFFFF" w:val="clear"/>
            <w:vAlign w:val="center"/>
          </w:tcPr>
          <w:p>
            <w:pPr>
              <w:pStyle w:val="TableContents"/>
              <w:bidi w:val="0"/>
              <w:spacing w:before="0" w:after="283"/>
              <w:jc w:val="left"/>
              <w:rPr/>
            </w:pPr>
            <w:r>
              <w:rPr/>
              <w:t> </w:t>
            </w:r>
            <w:bookmarkStart w:id="112" w:name="xdx_408_eus-gaap--StockIssuedDuringPerio"/>
            <w:bookmarkEnd w:id="112"/>
          </w:p>
        </w:tc>
      </w:tr>
      <w:tr>
        <w:trPr/>
        <w:tc>
          <w:tcPr>
            <w:tcW w:w="4094" w:type="dxa"/>
            <w:tcBorders/>
            <w:shd w:fill="CCEEFF" w:val="clear"/>
            <w:vAlign w:val="center"/>
          </w:tcPr>
          <w:p>
            <w:pPr>
              <w:pStyle w:val="TableContents"/>
              <w:bidi w:val="0"/>
              <w:spacing w:before="0" w:after="283"/>
              <w:jc w:val="left"/>
              <w:rPr/>
            </w:pPr>
            <w:r>
              <w:rPr/>
              <w:t xml:space="preserve">Issuance of ordinary shares under ATM program, net of issuance costs </w:t>
            </w:r>
            <w:bookmarkStart w:id="113" w:name="xdx_F4D_z3NQl0itNe4e"/>
            <w:bookmarkEnd w:id="113"/>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14" w:name="xdx_983_eus-gaap--StockIssuedDuringPerio"/>
            <w:bookmarkEnd w:id="114"/>
          </w:p>
        </w:tc>
        <w:tc>
          <w:tcPr>
            <w:tcW w:w="1019" w:type="dxa"/>
            <w:tcBorders/>
            <w:shd w:fill="CCEEFF" w:val="clear"/>
            <w:vAlign w:val="center"/>
          </w:tcPr>
          <w:p>
            <w:pPr>
              <w:pStyle w:val="TableContents"/>
              <w:bidi w:val="0"/>
              <w:spacing w:before="0" w:after="283"/>
              <w:jc w:val="right"/>
              <w:rPr/>
            </w:pPr>
            <w:r>
              <w:rPr/>
              <w:t>10,300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18</w:t>
            </w:r>
          </w:p>
        </w:tc>
        <w:tc>
          <w:tcPr>
            <w:tcW w:w="112" w:type="dxa"/>
            <w:tcBorders/>
            <w:shd w:fill="CCEEFF" w:val="clear"/>
            <w:vAlign w:val="center"/>
          </w:tcPr>
          <w:p>
            <w:pPr>
              <w:pStyle w:val="TableContents"/>
              <w:bidi w:val="0"/>
              <w:spacing w:before="0" w:after="283"/>
              <w:jc w:val="left"/>
              <w:rPr/>
            </w:pPr>
            <w:r>
              <w:rPr/>
              <w:t> </w:t>
            </w:r>
            <w:bookmarkStart w:id="115" w:name="xdx_401_ecustom--StockIssuedDuringPeriod"/>
            <w:bookmarkEnd w:id="115"/>
          </w:p>
        </w:tc>
      </w:tr>
      <w:tr>
        <w:trPr/>
        <w:tc>
          <w:tcPr>
            <w:tcW w:w="4094" w:type="dxa"/>
            <w:tcBorders/>
            <w:shd w:fill="CCEEFF" w:val="clear"/>
            <w:vAlign w:val="center"/>
          </w:tcPr>
          <w:p>
            <w:pPr>
              <w:pStyle w:val="TableContents"/>
              <w:bidi w:val="0"/>
              <w:spacing w:before="0" w:after="283"/>
              <w:jc w:val="left"/>
              <w:rPr/>
            </w:pPr>
            <w:r>
              <w:rPr/>
              <w:t>Issuance of ordinary shares in relation to the ATM, net of issuance costs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16" w:name="xdx_98B_ecustom--StockIssuedDuringPeriod"/>
            <w:bookmarkEnd w:id="116"/>
          </w:p>
        </w:tc>
        <w:tc>
          <w:tcPr>
            <w:tcW w:w="1019" w:type="dxa"/>
            <w:tcBorders/>
            <w:shd w:fill="CCEEFF" w:val="clear"/>
            <w:vAlign w:val="center"/>
          </w:tcPr>
          <w:p>
            <w:pPr>
              <w:pStyle w:val="TableContents"/>
              <w:bidi w:val="0"/>
              <w:spacing w:before="0" w:after="283"/>
              <w:jc w:val="right"/>
              <w:rPr/>
            </w:pPr>
            <w:r>
              <w:rPr/>
              <w:t>10,300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18</w:t>
            </w:r>
          </w:p>
        </w:tc>
        <w:tc>
          <w:tcPr>
            <w:tcW w:w="112" w:type="dxa"/>
            <w:tcBorders/>
            <w:shd w:fill="CCEEFF" w:val="clear"/>
            <w:vAlign w:val="center"/>
          </w:tcPr>
          <w:p>
            <w:pPr>
              <w:pStyle w:val="TableContents"/>
              <w:bidi w:val="0"/>
              <w:spacing w:before="0" w:after="283"/>
              <w:jc w:val="left"/>
              <w:rPr/>
            </w:pPr>
            <w:r>
              <w:rPr/>
              <w:t> </w:t>
            </w:r>
            <w:bookmarkStart w:id="117" w:name="xdx_400_eus-gaap--AdjustmentsToAdditiona"/>
            <w:bookmarkEnd w:id="117"/>
          </w:p>
        </w:tc>
      </w:tr>
      <w:tr>
        <w:trPr/>
        <w:tc>
          <w:tcPr>
            <w:tcW w:w="4094" w:type="dxa"/>
            <w:tcBorders/>
            <w:shd w:fill="FFFFFF" w:val="clear"/>
            <w:vAlign w:val="center"/>
          </w:tcPr>
          <w:p>
            <w:pPr>
              <w:pStyle w:val="TableContents"/>
              <w:bidi w:val="0"/>
              <w:spacing w:before="0" w:after="283"/>
              <w:jc w:val="left"/>
              <w:rPr/>
            </w:pPr>
            <w:r>
              <w:rPr/>
              <w:t>Share-based payment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39</w:t>
            </w:r>
          </w:p>
        </w:tc>
        <w:tc>
          <w:tcPr>
            <w:tcW w:w="112" w:type="dxa"/>
            <w:tcBorders/>
            <w:shd w:fill="FFFFFF" w:val="clear"/>
            <w:vAlign w:val="center"/>
          </w:tcPr>
          <w:p>
            <w:pPr>
              <w:pStyle w:val="TableContents"/>
              <w:bidi w:val="0"/>
              <w:spacing w:before="0" w:after="283"/>
              <w:jc w:val="left"/>
              <w:rPr/>
            </w:pPr>
            <w:r>
              <w:rPr/>
              <w:t> </w:t>
            </w:r>
            <w:bookmarkStart w:id="118" w:name="xdx_402_eus-gaap--ProfitLoss_pn3n3_zt98F"/>
            <w:bookmarkEnd w:id="118"/>
          </w:p>
        </w:tc>
      </w:tr>
      <w:tr>
        <w:trPr/>
        <w:tc>
          <w:tcPr>
            <w:tcW w:w="4094" w:type="dxa"/>
            <w:tcBorders/>
            <w:shd w:fill="CCEEFF" w:val="clear"/>
            <w:vAlign w:val="center"/>
          </w:tcPr>
          <w:p>
            <w:pPr>
              <w:pStyle w:val="TableContents"/>
              <w:bidi w:val="0"/>
              <w:spacing w:before="0" w:after="283"/>
              <w:jc w:val="left"/>
              <w:rPr/>
            </w:pPr>
            <w:r>
              <w:rPr/>
              <w:t>Net loss for the period</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(5,679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CCEEFF" w:val="clear"/>
            <w:tcMar>
              <w:bottom w:w="28" w:type="dxa"/>
            </w:tcMar>
            <w:vAlign w:val="center"/>
          </w:tcPr>
          <w:p>
            <w:pPr>
              <w:pStyle w:val="TableContents"/>
              <w:bidi w:val="0"/>
              <w:spacing w:before="0" w:after="283"/>
              <w:jc w:val="right"/>
              <w:rPr/>
            </w:pPr>
            <w:r>
              <w:rPr/>
              <w:t>(5,679</w:t>
            </w:r>
          </w:p>
        </w:tc>
        <w:tc>
          <w:tcPr>
            <w:tcW w:w="112" w:type="dxa"/>
            <w:tcBorders/>
            <w:shd w:fill="CCEEFF" w:val="clear"/>
            <w:vAlign w:val="center"/>
          </w:tcPr>
          <w:p>
            <w:pPr>
              <w:pStyle w:val="TableContents"/>
              <w:bidi w:val="0"/>
              <w:spacing w:before="0" w:after="283"/>
              <w:jc w:val="left"/>
              <w:rPr/>
            </w:pPr>
            <w:r>
              <w:rPr/>
              <w:t>)</w:t>
            </w:r>
          </w:p>
        </w:tc>
      </w:tr>
      <w:tr>
        <w:trPr/>
        <w:tc>
          <w:tcPr>
            <w:tcW w:w="40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19" w:name="xdx_438_c20250101__20250630_eus-gaap--St"/>
            <w:bookmarkEnd w:id="119"/>
          </w:p>
        </w:tc>
      </w:tr>
      <w:tr>
        <w:trPr/>
        <w:tc>
          <w:tcPr>
            <w:tcW w:w="4094" w:type="dxa"/>
            <w:tcBorders/>
            <w:shd w:fill="CCEEFF" w:val="clear"/>
            <w:vAlign w:val="center"/>
          </w:tcPr>
          <w:p>
            <w:pPr>
              <w:pStyle w:val="TableContents"/>
              <w:bidi w:val="0"/>
              <w:spacing w:before="0" w:after="283"/>
              <w:jc w:val="left"/>
              <w:rPr>
                <w:b/>
              </w:rPr>
            </w:pPr>
            <w:r>
              <w:rPr>
                <w:b/>
              </w:rPr>
              <w:t>Balance as of June 30, 2025</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0" w:name="xdx_98B_eus-gaap--SharesOutstanding_iE_p"/>
            <w:bookmarkEnd w:id="120"/>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pPr>
            <w:r>
              <w:rPr/>
              <w:t>1,778,800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1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6" w:space="0" w:color="000000"/>
            </w:tcBorders>
            <w:shd w:fill="CCEEFF" w:val="clear"/>
            <w:tcMar>
              <w:bottom w:w="28" w:type="dxa"/>
            </w:tcMar>
            <w:vAlign w:val="center"/>
          </w:tcPr>
          <w:p>
            <w:pPr>
              <w:pStyle w:val="TableContents"/>
              <w:bidi w:val="0"/>
              <w:spacing w:before="0" w:after="283"/>
              <w:jc w:val="right"/>
              <w:rPr/>
            </w:pPr>
            <w:r>
              <w:rPr/>
              <w:t>125,043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pPr>
            <w:r>
              <w:rPr/>
              <w:t>(102,349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6" w:space="0" w:color="000000"/>
            </w:tcBorders>
            <w:shd w:fill="CCEEFF" w:val="clear"/>
            <w:tcMar>
              <w:bottom w:w="28" w:type="dxa"/>
            </w:tcMar>
            <w:vAlign w:val="center"/>
          </w:tcPr>
          <w:p>
            <w:pPr>
              <w:pStyle w:val="TableContents"/>
              <w:bidi w:val="0"/>
              <w:spacing w:before="0" w:after="283"/>
              <w:jc w:val="right"/>
              <w:rPr/>
            </w:pPr>
            <w:r>
              <w:rPr/>
              <w:t>22,694</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1"/>
        <w:gridCol w:w="9764"/>
      </w:tblGrid>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1" w:name="xdx_F05_zEiBhlb856N8"/>
            <w:bookmarkEnd w:id="121"/>
            <w:r>
              <w:rPr>
                <w:rFonts w:ascii="Times New Roman;Times;Serif" w:hAnsi="Times New Roman;Times;Serif"/>
                <w:b w:val="false"/>
                <w:i w:val="false"/>
                <w:caps w:val="false"/>
                <w:smallCaps w:val="false"/>
                <w:sz w:val="20"/>
              </w:rPr>
              <w:t>(*)</w:t>
            </w:r>
          </w:p>
        </w:tc>
        <w:tc>
          <w:tcPr>
            <w:tcW w:w="97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2" w:name="xdx_F1B_z7qXgywMkWl1"/>
            <w:bookmarkEnd w:id="122"/>
            <w:r>
              <w:rPr>
                <w:rFonts w:ascii="Times New Roman;Times;Serif" w:hAnsi="Times New Roman;Times;Serif"/>
                <w:b w:val="false"/>
                <w:i w:val="false"/>
                <w:caps w:val="false"/>
                <w:smallCaps w:val="false"/>
                <w:sz w:val="20"/>
              </w:rPr>
              <w:t>Retroactively adjusted to reflect a reverse share split of the Company’s ordinary shares effected on February 4, 2026 (see Note 1B).</w:t>
            </w:r>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3" w:name="xdx_F01_zrLBHE65humb"/>
            <w:bookmarkEnd w:id="123"/>
            <w:r>
              <w:rPr>
                <w:rFonts w:ascii="Times New Roman;Times;Serif" w:hAnsi="Times New Roman;Times;Serif"/>
                <w:b w:val="false"/>
                <w:i w:val="false"/>
                <w:caps w:val="false"/>
                <w:smallCaps w:val="false"/>
                <w:sz w:val="20"/>
              </w:rPr>
              <w:t>(**)</w:t>
            </w:r>
          </w:p>
        </w:tc>
        <w:tc>
          <w:tcPr>
            <w:tcW w:w="97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4" w:name="xdx_F19_zCJQcCZjxi2a"/>
            <w:bookmarkEnd w:id="124"/>
            <w:r>
              <w:rPr>
                <w:rFonts w:ascii="Times New Roman;Times;Serif" w:hAnsi="Times New Roman;Times;Serif"/>
                <w:b w:val="false"/>
                <w:i w:val="false"/>
                <w:caps w:val="false"/>
                <w:smallCaps w:val="false"/>
                <w:sz w:val="20"/>
              </w:rPr>
              <w:t>Issuance costs in the amount of approximately $</w:t>
            </w:r>
            <w:bookmarkStart w:id="125" w:name="xdx_90C_eus-gaap--PaymentsOfStockIssuanc"/>
            <w:bookmarkEnd w:id="125"/>
            <w:r>
              <w:rPr>
                <w:rFonts w:ascii="Times New Roman;Times;Serif" w:hAnsi="Times New Roman;Times;Serif"/>
                <w:b w:val="false"/>
                <w:i w:val="false"/>
                <w:caps w:val="false"/>
                <w:smallCaps w:val="false"/>
                <w:sz w:val="20"/>
              </w:rPr>
              <w:t>121</w:t>
            </w:r>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6" w:name="xdx_F06_zviZwidqFiGi"/>
            <w:bookmarkEnd w:id="126"/>
            <w:r>
              <w:rPr>
                <w:rFonts w:ascii="Times New Roman;Times;Serif" w:hAnsi="Times New Roman;Times;Serif"/>
                <w:b w:val="false"/>
                <w:i w:val="false"/>
                <w:caps w:val="false"/>
                <w:smallCaps w:val="false"/>
                <w:sz w:val="20"/>
              </w:rPr>
              <w:t>(***)</w:t>
            </w:r>
          </w:p>
        </w:tc>
        <w:tc>
          <w:tcPr>
            <w:tcW w:w="97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7" w:name="xdx_F1A_zfvF9EIz7Xpf"/>
            <w:bookmarkEnd w:id="127"/>
            <w:r>
              <w:rPr>
                <w:rFonts w:ascii="Times New Roman;Times;Serif" w:hAnsi="Times New Roman;Times;Serif"/>
                <w:b w:val="false"/>
                <w:i w:val="false"/>
                <w:caps w:val="false"/>
                <w:smallCaps w:val="false"/>
                <w:sz w:val="20"/>
              </w:rPr>
              <w:t>Issuance costs in the amount of approximately $</w:t>
            </w:r>
            <w:bookmarkStart w:id="128" w:name="xdx_90A_eus-gaap--PaymentsOfStockIssuanc"/>
            <w:bookmarkEnd w:id="128"/>
            <w:r>
              <w:rPr>
                <w:rFonts w:ascii="Times New Roman;Times;Serif" w:hAnsi="Times New Roman;Times;Serif"/>
                <w:b w:val="false"/>
                <w:i w:val="false"/>
                <w:caps w:val="false"/>
                <w:smallCaps w:val="false"/>
                <w:sz w:val="20"/>
              </w:rPr>
              <w:t>111.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29" w:name="sp_005"/>
      <w:bookmarkEnd w:id="129"/>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UNAUDITED INTERIM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w:t>
      </w:r>
    </w:p>
    <w:p>
      <w:pPr>
        <w:pStyle w:val="TextBody"/>
        <w:bidi w:val="0"/>
        <w:spacing w:before="0" w:after="0"/>
        <w:ind w:left="1134" w:right="0" w:hanging="1134"/>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0" w:name="xdx_30E_112_pn3n3_zvPkXI5LUHj9"/>
      <w:bookmarkStart w:id="131" w:name="xdx_30E_112_pn3n3_zvPkXI5LUHj9"/>
      <w:bookmarkEnd w:id="131"/>
    </w:p>
    <w:tbl>
      <w:tblPr>
        <w:tblW w:w="9823" w:type="dxa"/>
        <w:jc w:val="left"/>
        <w:tblInd w:w="0" w:type="dxa"/>
        <w:tblLayout w:type="fixed"/>
        <w:tblCellMar>
          <w:top w:w="0" w:type="dxa"/>
          <w:left w:w="0" w:type="dxa"/>
          <w:bottom w:w="0" w:type="dxa"/>
          <w:right w:w="0" w:type="dxa"/>
        </w:tblCellMar>
      </w:tblPr>
      <w:tblGrid>
        <w:gridCol w:w="6920"/>
        <w:gridCol w:w="60"/>
        <w:gridCol w:w="213"/>
        <w:gridCol w:w="1036"/>
        <w:gridCol w:w="144"/>
        <w:gridCol w:w="91"/>
        <w:gridCol w:w="213"/>
        <w:gridCol w:w="1036"/>
        <w:gridCol w:w="110"/>
      </w:tblGrid>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 w:name="xdx_49E_20260101__20260630_zSJJlMg7MZ8f"/>
            <w:bookmarkEnd w:id="132"/>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bookmarkStart w:id="133" w:name="xdx_495_20250101__20250630_zB7fH5471iMd"/>
            <w:bookmarkEnd w:id="133"/>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34" w:name="xdx_401_eus-gaap--NetCashProvidedByUsedI"/>
            <w:bookmarkEnd w:id="134"/>
          </w:p>
        </w:tc>
      </w:tr>
      <w:tr>
        <w:trPr/>
        <w:tc>
          <w:tcPr>
            <w:tcW w:w="6920" w:type="dxa"/>
            <w:tcBorders/>
            <w:shd w:fill="CCEEFF" w:val="clear"/>
            <w:vAlign w:val="center"/>
          </w:tcPr>
          <w:p>
            <w:pPr>
              <w:pStyle w:val="TableContents"/>
              <w:bidi w:val="0"/>
              <w:spacing w:before="0" w:after="283"/>
              <w:jc w:val="left"/>
              <w:rPr>
                <w:b/>
                <w:u w:val="single"/>
              </w:rPr>
            </w:pPr>
            <w:r>
              <w:rPr>
                <w:b/>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5" w:name="xdx_405_eus-gaap--ProfitLoss_i01_maNCPBU"/>
            <w:bookmarkEnd w:id="135"/>
          </w:p>
        </w:tc>
      </w:tr>
      <w:tr>
        <w:trPr/>
        <w:tc>
          <w:tcPr>
            <w:tcW w:w="6920" w:type="dxa"/>
            <w:tcBorders/>
            <w:shd w:fill="FFFFFF" w:val="clear"/>
            <w:vAlign w:val="center"/>
          </w:tcPr>
          <w:p>
            <w:pPr>
              <w:pStyle w:val="TableContents"/>
              <w:bidi w:val="0"/>
              <w:spacing w:before="0" w:after="283"/>
              <w:jc w:val="left"/>
              <w:rPr/>
            </w:pPr>
            <w:r>
              <w:rPr/>
              <w:t>Net loss for the period</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1036" w:type="dxa"/>
            <w:tcBorders/>
            <w:shd w:fill="FFFFFF" w:val="clear"/>
            <w:vAlign w:val="center"/>
          </w:tcPr>
          <w:p>
            <w:pPr>
              <w:pStyle w:val="TableContents"/>
              <w:bidi w:val="0"/>
              <w:spacing w:before="0" w:after="283"/>
              <w:jc w:val="right"/>
              <w:rPr/>
            </w:pPr>
            <w:r>
              <w:rPr/>
              <w:t>(7,310</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1036" w:type="dxa"/>
            <w:tcBorders/>
            <w:shd w:fill="FFFFFF" w:val="clear"/>
            <w:vAlign w:val="center"/>
          </w:tcPr>
          <w:p>
            <w:pPr>
              <w:pStyle w:val="TableContents"/>
              <w:bidi w:val="0"/>
              <w:spacing w:before="0" w:after="283"/>
              <w:jc w:val="right"/>
              <w:rPr/>
            </w:pPr>
            <w:r>
              <w:rPr/>
              <w:t>(5,679</w:t>
            </w:r>
          </w:p>
        </w:tc>
        <w:tc>
          <w:tcPr>
            <w:tcW w:w="110"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6" w:name="xdx_403_eus-gaap--AdjustmentsToReconcile"/>
            <w:bookmarkEnd w:id="136"/>
          </w:p>
        </w:tc>
      </w:tr>
      <w:tr>
        <w:trPr/>
        <w:tc>
          <w:tcPr>
            <w:tcW w:w="6920" w:type="dxa"/>
            <w:tcBorders/>
            <w:shd w:fill="FFFFFF" w:val="clear"/>
            <w:vAlign w:val="center"/>
          </w:tcPr>
          <w:p>
            <w:pPr>
              <w:pStyle w:val="TableContents"/>
              <w:bidi w:val="0"/>
              <w:spacing w:before="0" w:after="283"/>
              <w:jc w:val="left"/>
              <w:rPr>
                <w:b/>
                <w:u w:val="single"/>
              </w:rPr>
            </w:pPr>
            <w:r>
              <w:rPr>
                <w:b/>
                <w:u w:val="single"/>
              </w:rPr>
              <w:t>Adjustments to reconcile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7" w:name="xdx_40C_eus-gaap--Depreciation_i02_pn3n3"/>
            <w:bookmarkEnd w:id="137"/>
          </w:p>
        </w:tc>
      </w:tr>
      <w:tr>
        <w:trPr/>
        <w:tc>
          <w:tcPr>
            <w:tcW w:w="692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65</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59</w:t>
            </w:r>
          </w:p>
        </w:tc>
        <w:tc>
          <w:tcPr>
            <w:tcW w:w="110" w:type="dxa"/>
            <w:tcBorders/>
            <w:shd w:fill="CCEEFF" w:val="clear"/>
            <w:vAlign w:val="center"/>
          </w:tcPr>
          <w:p>
            <w:pPr>
              <w:pStyle w:val="TableContents"/>
              <w:bidi w:val="0"/>
              <w:spacing w:before="0" w:after="283"/>
              <w:jc w:val="left"/>
              <w:rPr/>
            </w:pPr>
            <w:r>
              <w:rPr/>
              <w:t> </w:t>
            </w:r>
            <w:bookmarkStart w:id="138" w:name="xdx_409_eus-gaap--ShareBasedCompensation"/>
            <w:bookmarkEnd w:id="138"/>
          </w:p>
        </w:tc>
      </w:tr>
      <w:tr>
        <w:trPr/>
        <w:tc>
          <w:tcPr>
            <w:tcW w:w="6920" w:type="dxa"/>
            <w:tcBorders/>
            <w:shd w:fill="FFFFFF" w:val="clear"/>
            <w:vAlign w:val="center"/>
          </w:tcPr>
          <w:p>
            <w:pPr>
              <w:pStyle w:val="TableContents"/>
              <w:bidi w:val="0"/>
              <w:spacing w:before="0" w:after="283"/>
              <w:jc w:val="left"/>
              <w:rPr/>
            </w:pPr>
            <w:r>
              <w:rPr/>
              <w:t>Share-based payment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556</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429</w:t>
            </w:r>
          </w:p>
        </w:tc>
        <w:tc>
          <w:tcPr>
            <w:tcW w:w="110" w:type="dxa"/>
            <w:tcBorders/>
            <w:shd w:fill="FFFFFF" w:val="clear"/>
            <w:vAlign w:val="center"/>
          </w:tcPr>
          <w:p>
            <w:pPr>
              <w:pStyle w:val="TableContents"/>
              <w:bidi w:val="0"/>
              <w:spacing w:before="0" w:after="283"/>
              <w:jc w:val="left"/>
              <w:rPr/>
            </w:pPr>
            <w:r>
              <w:rPr/>
              <w:t> </w:t>
            </w:r>
            <w:bookmarkStart w:id="139" w:name="xdx_405_ecustom--ChangeInOperatingLeaseL"/>
            <w:bookmarkEnd w:id="139"/>
          </w:p>
        </w:tc>
      </w:tr>
      <w:tr>
        <w:trPr/>
        <w:tc>
          <w:tcPr>
            <w:tcW w:w="6920" w:type="dxa"/>
            <w:tcBorders/>
            <w:shd w:fill="CCEEFF" w:val="clear"/>
            <w:vAlign w:val="center"/>
          </w:tcPr>
          <w:p>
            <w:pPr>
              <w:pStyle w:val="TableContents"/>
              <w:bidi w:val="0"/>
              <w:spacing w:before="0" w:after="283"/>
              <w:jc w:val="left"/>
              <w:rPr/>
            </w:pPr>
            <w:r>
              <w:rPr/>
              <w:t>Change in operating lease liability</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(5</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42</w:t>
            </w:r>
          </w:p>
        </w:tc>
        <w:tc>
          <w:tcPr>
            <w:tcW w:w="110" w:type="dxa"/>
            <w:tcBorders/>
            <w:shd w:fill="CCEEFF" w:val="clear"/>
            <w:vAlign w:val="center"/>
          </w:tcPr>
          <w:p>
            <w:pPr>
              <w:pStyle w:val="TableContents"/>
              <w:bidi w:val="0"/>
              <w:spacing w:before="0" w:after="283"/>
              <w:jc w:val="left"/>
              <w:rPr/>
            </w:pPr>
            <w:r>
              <w:rPr/>
              <w:t> </w:t>
            </w:r>
            <w:bookmarkStart w:id="140" w:name="xdx_403_ecustom--WriteoffOfAcquiredInpro"/>
            <w:bookmarkEnd w:id="140"/>
          </w:p>
        </w:tc>
      </w:tr>
      <w:tr>
        <w:trPr/>
        <w:tc>
          <w:tcPr>
            <w:tcW w:w="6920" w:type="dxa"/>
            <w:tcBorders/>
            <w:shd w:fill="FFFFFF" w:val="clear"/>
            <w:vAlign w:val="center"/>
          </w:tcPr>
          <w:p>
            <w:pPr>
              <w:pStyle w:val="TableContents"/>
              <w:bidi w:val="0"/>
              <w:spacing w:before="0" w:after="283"/>
              <w:jc w:val="left"/>
              <w:rPr/>
            </w:pPr>
            <w:r>
              <w:rPr/>
              <w:t xml:space="preserve">Write-off of acquired in-process research and development </w:t>
            </w:r>
            <w:bookmarkStart w:id="141" w:name="xdx_F41_zPOC2eqxM6Hf"/>
            <w:bookmarkEnd w:id="141"/>
            <w:r>
              <w:rPr/>
              <w: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1,028</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2" w:name="xdx_401_ecustom--ExchangeRateChangesOnCa"/>
            <w:bookmarkEnd w:id="142"/>
          </w:p>
        </w:tc>
      </w:tr>
      <w:tr>
        <w:trPr/>
        <w:tc>
          <w:tcPr>
            <w:tcW w:w="6920" w:type="dxa"/>
            <w:tcBorders/>
            <w:shd w:fill="CCEEFF" w:val="clear"/>
            <w:vAlign w:val="center"/>
          </w:tcPr>
          <w:p>
            <w:pPr>
              <w:pStyle w:val="TableContents"/>
              <w:bidi w:val="0"/>
              <w:spacing w:before="0" w:after="283"/>
              <w:jc w:val="left"/>
              <w:rPr/>
            </w:pPr>
            <w:r>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(390</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(128</w:t>
            </w:r>
          </w:p>
        </w:tc>
        <w:tc>
          <w:tcPr>
            <w:tcW w:w="110" w:type="dxa"/>
            <w:tcBorders/>
            <w:shd w:fill="CCEEFF" w:val="clear"/>
            <w:vAlign w:val="center"/>
          </w:tcPr>
          <w:p>
            <w:pPr>
              <w:pStyle w:val="TableContents"/>
              <w:bidi w:val="0"/>
              <w:spacing w:before="0" w:after="283"/>
              <w:jc w:val="left"/>
              <w:rPr/>
            </w:pPr>
            <w:r>
              <w:rPr/>
              <w:t>)</w:t>
            </w:r>
            <w:bookmarkStart w:id="143" w:name="xdx_40C_ecustom--RevaluationOfDerivative"/>
            <w:bookmarkEnd w:id="143"/>
          </w:p>
        </w:tc>
      </w:tr>
      <w:tr>
        <w:trPr/>
        <w:tc>
          <w:tcPr>
            <w:tcW w:w="6920" w:type="dxa"/>
            <w:tcBorders/>
            <w:shd w:fill="FFFFFF" w:val="clear"/>
            <w:vAlign w:val="center"/>
          </w:tcPr>
          <w:p>
            <w:pPr>
              <w:pStyle w:val="TableContents"/>
              <w:bidi w:val="0"/>
              <w:spacing w:before="0" w:after="283"/>
              <w:jc w:val="left"/>
              <w:rPr/>
            </w:pPr>
            <w:r>
              <w:rPr/>
              <w:t>Revaluation of derivatives, warrant liabilities and other</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380</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4" w:name="xdx_40A_eus-gaap--IncreaseDecreaseInOper"/>
            <w:bookmarkEnd w:id="144"/>
          </w:p>
        </w:tc>
      </w:tr>
      <w:tr>
        <w:trPr/>
        <w:tc>
          <w:tcPr>
            <w:tcW w:w="692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5" w:name="xdx_40A_eus-gaap--IncreaseDecreaseInAcco"/>
            <w:bookmarkEnd w:id="145"/>
          </w:p>
        </w:tc>
      </w:tr>
      <w:tr>
        <w:trPr/>
        <w:tc>
          <w:tcPr>
            <w:tcW w:w="6920" w:type="dxa"/>
            <w:tcBorders/>
            <w:shd w:fill="FFFFFF" w:val="clear"/>
            <w:vAlign w:val="center"/>
          </w:tcPr>
          <w:p>
            <w:pPr>
              <w:pStyle w:val="TableContents"/>
              <w:bidi w:val="0"/>
              <w:spacing w:before="0" w:after="283"/>
              <w:jc w:val="left"/>
              <w:rPr/>
            </w:pPr>
            <w:r>
              <w:rPr/>
              <w:t>Decrease (increase) in accounts receivables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(267</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400</w:t>
            </w:r>
          </w:p>
        </w:tc>
        <w:tc>
          <w:tcPr>
            <w:tcW w:w="110" w:type="dxa"/>
            <w:tcBorders/>
            <w:shd w:fill="FFFFFF" w:val="clear"/>
            <w:vAlign w:val="center"/>
          </w:tcPr>
          <w:p>
            <w:pPr>
              <w:pStyle w:val="TableContents"/>
              <w:bidi w:val="0"/>
              <w:spacing w:before="0" w:after="283"/>
              <w:jc w:val="left"/>
              <w:rPr/>
            </w:pPr>
            <w:r>
              <w:rPr/>
              <w:t> </w:t>
            </w:r>
            <w:bookmarkStart w:id="146" w:name="xdx_40F_eus-gaap--IncreaseDecreaseInOthe"/>
            <w:bookmarkEnd w:id="146"/>
          </w:p>
        </w:tc>
      </w:tr>
      <w:tr>
        <w:trPr/>
        <w:tc>
          <w:tcPr>
            <w:tcW w:w="6920" w:type="dxa"/>
            <w:tcBorders/>
            <w:shd w:fill="CCEEFF" w:val="clear"/>
            <w:vAlign w:val="center"/>
          </w:tcPr>
          <w:p>
            <w:pPr>
              <w:pStyle w:val="TableContents"/>
              <w:bidi w:val="0"/>
              <w:spacing w:before="0" w:after="283"/>
              <w:jc w:val="left"/>
              <w:rPr/>
            </w:pPr>
            <w:r>
              <w:rPr/>
              <w:t>Increase in other current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(199</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(39</w:t>
            </w:r>
          </w:p>
        </w:tc>
        <w:tc>
          <w:tcPr>
            <w:tcW w:w="110" w:type="dxa"/>
            <w:tcBorders/>
            <w:shd w:fill="CCEEFF" w:val="clear"/>
            <w:vAlign w:val="center"/>
          </w:tcPr>
          <w:p>
            <w:pPr>
              <w:pStyle w:val="TableContents"/>
              <w:bidi w:val="0"/>
              <w:spacing w:before="0" w:after="283"/>
              <w:jc w:val="left"/>
              <w:rPr/>
            </w:pPr>
            <w:r>
              <w:rPr/>
              <w:t>)</w:t>
            </w:r>
            <w:bookmarkStart w:id="147" w:name="xdx_409_eus-gaap--IncreaseDecreaseInInve"/>
            <w:bookmarkEnd w:id="147"/>
          </w:p>
        </w:tc>
      </w:tr>
      <w:tr>
        <w:trPr/>
        <w:tc>
          <w:tcPr>
            <w:tcW w:w="6920" w:type="dxa"/>
            <w:tcBorders/>
            <w:shd w:fill="FFFFFF" w:val="clear"/>
            <w:vAlign w:val="center"/>
          </w:tcPr>
          <w:p>
            <w:pPr>
              <w:pStyle w:val="TableContents"/>
              <w:bidi w:val="0"/>
              <w:spacing w:before="0" w:after="283"/>
              <w:jc w:val="left"/>
              <w:rPr/>
            </w:pPr>
            <w:r>
              <w:rPr/>
              <w:t>Decrease (increase) in inventories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609</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(126</w:t>
            </w:r>
          </w:p>
        </w:tc>
        <w:tc>
          <w:tcPr>
            <w:tcW w:w="110" w:type="dxa"/>
            <w:tcBorders/>
            <w:shd w:fill="FFFFFF" w:val="clear"/>
            <w:vAlign w:val="center"/>
          </w:tcPr>
          <w:p>
            <w:pPr>
              <w:pStyle w:val="TableContents"/>
              <w:bidi w:val="0"/>
              <w:spacing w:before="0" w:after="283"/>
              <w:jc w:val="left"/>
              <w:rPr/>
            </w:pPr>
            <w:r>
              <w:rPr/>
              <w:t>)</w:t>
            </w:r>
            <w:bookmarkStart w:id="148" w:name="xdx_408_eus-gaap--IncreaseDecreaseInAcco"/>
            <w:bookmarkEnd w:id="148"/>
          </w:p>
        </w:tc>
      </w:tr>
      <w:tr>
        <w:trPr/>
        <w:tc>
          <w:tcPr>
            <w:tcW w:w="6920" w:type="dxa"/>
            <w:tcBorders/>
            <w:shd w:fill="CCEEFF" w:val="clear"/>
            <w:vAlign w:val="center"/>
          </w:tcPr>
          <w:p>
            <w:pPr>
              <w:pStyle w:val="TableContents"/>
              <w:bidi w:val="0"/>
              <w:spacing w:before="0" w:after="283"/>
              <w:jc w:val="left"/>
              <w:rPr/>
            </w:pPr>
            <w:r>
              <w:rPr/>
              <w:t>Decrease in trade accounts payable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(99</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w:t>
            </w:r>
            <w:bookmarkStart w:id="149" w:name="xdx_400_eus-gaap--IncreaseDecreaseInOthe"/>
            <w:bookmarkEnd w:id="149"/>
          </w:p>
        </w:tc>
      </w:tr>
      <w:tr>
        <w:trPr/>
        <w:tc>
          <w:tcPr>
            <w:tcW w:w="6920" w:type="dxa"/>
            <w:tcBorders/>
            <w:shd w:fill="FFFFFF" w:val="clear"/>
            <w:vAlign w:val="center"/>
          </w:tcPr>
          <w:p>
            <w:pPr>
              <w:pStyle w:val="TableContents"/>
              <w:bidi w:val="0"/>
              <w:spacing w:before="0" w:after="283"/>
              <w:jc w:val="left"/>
              <w:rPr/>
            </w:pPr>
            <w:r>
              <w:rPr/>
              <w:t>Increase (decrease) in other accounts payable</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(201</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0" w:name="xdx_405_eus-gaap--NetCashProvidedByUsedI"/>
            <w:bookmarkEnd w:id="150"/>
          </w:p>
        </w:tc>
      </w:tr>
      <w:tr>
        <w:trPr/>
        <w:tc>
          <w:tcPr>
            <w:tcW w:w="6920"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(6,213</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(4,661</w:t>
            </w:r>
          </w:p>
        </w:tc>
        <w:tc>
          <w:tcPr>
            <w:tcW w:w="110"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1" w:name="xdx_400_eus-gaap--NetCashProvidedByUsedI"/>
            <w:bookmarkEnd w:id="151"/>
          </w:p>
        </w:tc>
      </w:tr>
      <w:tr>
        <w:trPr/>
        <w:tc>
          <w:tcPr>
            <w:tcW w:w="6920" w:type="dxa"/>
            <w:tcBorders/>
            <w:shd w:fill="FFFFFF" w:val="clear"/>
            <w:vAlign w:val="center"/>
          </w:tcPr>
          <w:p>
            <w:pPr>
              <w:pStyle w:val="TableContents"/>
              <w:bidi w:val="0"/>
              <w:spacing w:before="0" w:after="283"/>
              <w:jc w:val="left"/>
              <w:rPr>
                <w:b/>
                <w:u w:val="single"/>
              </w:rPr>
            </w:pPr>
            <w:r>
              <w:rPr>
                <w:b/>
                <w:u w:val="single"/>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2" w:name="xdx_40F_eus-gaap--PaymentsToAcquirePrope"/>
            <w:bookmarkEnd w:id="152"/>
          </w:p>
        </w:tc>
      </w:tr>
      <w:tr>
        <w:trPr/>
        <w:tc>
          <w:tcPr>
            <w:tcW w:w="6920" w:type="dxa"/>
            <w:tcBorders/>
            <w:shd w:fill="CCEEFF" w:val="clear"/>
            <w:vAlign w:val="center"/>
          </w:tcPr>
          <w:p>
            <w:pPr>
              <w:pStyle w:val="TableContents"/>
              <w:bidi w:val="0"/>
              <w:spacing w:before="0" w:after="283"/>
              <w:jc w:val="left"/>
              <w:rPr/>
            </w:pPr>
            <w:r>
              <w:rPr/>
              <w:t>Purchase of fixed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(71</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w:t>
            </w:r>
            <w:bookmarkStart w:id="153" w:name="xdx_40B_eus-gaap--PaymentsForProceedsFro"/>
            <w:bookmarkEnd w:id="153"/>
          </w:p>
        </w:tc>
      </w:tr>
      <w:tr>
        <w:trPr/>
        <w:tc>
          <w:tcPr>
            <w:tcW w:w="6920" w:type="dxa"/>
            <w:tcBorders/>
            <w:shd w:fill="FFFFFF" w:val="clear"/>
            <w:vAlign w:val="center"/>
          </w:tcPr>
          <w:p>
            <w:pPr>
              <w:pStyle w:val="TableContents"/>
              <w:bidi w:val="0"/>
              <w:spacing w:before="0" w:after="283"/>
              <w:jc w:val="left"/>
              <w:rPr/>
            </w:pPr>
            <w:r>
              <w:rPr/>
              <w:t xml:space="preserve">Cash acquired upon initial consolidation of subsidiary, net </w:t>
            </w:r>
            <w:bookmarkStart w:id="154" w:name="xdx_F41_zYr39qxC70g4"/>
            <w:bookmarkEnd w:id="154"/>
            <w:r>
              <w:rPr/>
              <w: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163</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5" w:name="xdx_404_eus-gaap--NetCashProvidedByUsedI"/>
            <w:bookmarkEnd w:id="155"/>
          </w:p>
        </w:tc>
      </w:tr>
      <w:tr>
        <w:trPr/>
        <w:tc>
          <w:tcPr>
            <w:tcW w:w="6920" w:type="dxa"/>
            <w:tcBorders/>
            <w:shd w:fill="FFFFFF" w:val="clear"/>
            <w:vAlign w:val="center"/>
          </w:tcPr>
          <w:p>
            <w:pPr>
              <w:pStyle w:val="TableContents"/>
              <w:bidi w:val="0"/>
              <w:spacing w:before="0" w:after="283"/>
              <w:jc w:val="left"/>
              <w:rPr>
                <w:b/>
              </w:rPr>
            </w:pPr>
            <w:r>
              <w:rPr>
                <w:b/>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92</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110"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6" w:name="xdx_405_eus-gaap--NetCashProvidedByUsedI"/>
            <w:bookmarkEnd w:id="156"/>
          </w:p>
        </w:tc>
      </w:tr>
      <w:tr>
        <w:trPr/>
        <w:tc>
          <w:tcPr>
            <w:tcW w:w="6920" w:type="dxa"/>
            <w:tcBorders/>
            <w:shd w:fill="FFFFFF" w:val="clear"/>
            <w:vAlign w:val="center"/>
          </w:tcPr>
          <w:p>
            <w:pPr>
              <w:pStyle w:val="TableContents"/>
              <w:bidi w:val="0"/>
              <w:spacing w:before="0" w:after="283"/>
              <w:jc w:val="left"/>
              <w:rPr>
                <w:b/>
                <w:u w:val="single"/>
              </w:rPr>
            </w:pPr>
            <w:r>
              <w:rPr>
                <w:b/>
                <w:u w:val="single"/>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7" w:name="xdx_406_ecustom--ProceedsFromConvertible"/>
            <w:bookmarkEnd w:id="157"/>
          </w:p>
        </w:tc>
      </w:tr>
      <w:tr>
        <w:trPr/>
        <w:tc>
          <w:tcPr>
            <w:tcW w:w="6920" w:type="dxa"/>
            <w:tcBorders/>
            <w:shd w:fill="CCEEFF" w:val="clear"/>
            <w:vAlign w:val="center"/>
          </w:tcPr>
          <w:p>
            <w:pPr>
              <w:pStyle w:val="TableContents"/>
              <w:bidi w:val="0"/>
              <w:spacing w:before="0" w:after="283"/>
              <w:jc w:val="left"/>
              <w:rPr/>
            </w:pPr>
            <w:r>
              <w:rPr/>
              <w:t>Proceeds from a convertible loan credit facility and issuance of warrants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58" w:name="xdx_407_eus-gaap--RepaymentsOfConvertibl"/>
            <w:bookmarkEnd w:id="158"/>
          </w:p>
        </w:tc>
      </w:tr>
      <w:tr>
        <w:trPr/>
        <w:tc>
          <w:tcPr>
            <w:tcW w:w="6920" w:type="dxa"/>
            <w:tcBorders/>
            <w:shd w:fill="FFFFFF" w:val="clear"/>
            <w:vAlign w:val="center"/>
          </w:tcPr>
          <w:p>
            <w:pPr>
              <w:pStyle w:val="TableContents"/>
              <w:bidi w:val="0"/>
              <w:spacing w:before="0" w:after="283"/>
              <w:jc w:val="left"/>
              <w:rPr/>
            </w:pPr>
            <w:r>
              <w:rPr/>
              <w:t>Payments on convertible loan credit facility</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9" w:name="xdx_401_eus-gaap--ProceedsFromWarrantExe"/>
            <w:bookmarkEnd w:id="159"/>
          </w:p>
        </w:tc>
      </w:tr>
      <w:tr>
        <w:trPr/>
        <w:tc>
          <w:tcPr>
            <w:tcW w:w="6920" w:type="dxa"/>
            <w:tcBorders/>
            <w:shd w:fill="CCEEFF" w:val="clear"/>
            <w:vAlign w:val="center"/>
          </w:tcPr>
          <w:p>
            <w:pPr>
              <w:pStyle w:val="TableContents"/>
              <w:bidi w:val="0"/>
              <w:spacing w:before="0" w:after="283"/>
              <w:jc w:val="left"/>
              <w:rPr/>
            </w:pPr>
            <w:r>
              <w:rPr/>
              <w:t>Proceeds from exercise of warrants, net of issuance expenses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2,204</w:t>
            </w:r>
          </w:p>
        </w:tc>
        <w:tc>
          <w:tcPr>
            <w:tcW w:w="110" w:type="dxa"/>
            <w:tcBorders/>
            <w:shd w:fill="CCEEFF" w:val="clear"/>
            <w:vAlign w:val="center"/>
          </w:tcPr>
          <w:p>
            <w:pPr>
              <w:pStyle w:val="TableContents"/>
              <w:bidi w:val="0"/>
              <w:spacing w:before="0" w:after="283"/>
              <w:jc w:val="left"/>
              <w:rPr/>
            </w:pPr>
            <w:r>
              <w:rPr/>
              <w:t> </w:t>
            </w:r>
            <w:bookmarkStart w:id="160" w:name="xdx_407_eus-gaap--ProceedsFromIssuanceOf"/>
            <w:bookmarkEnd w:id="160"/>
          </w:p>
        </w:tc>
      </w:tr>
      <w:tr>
        <w:trPr/>
        <w:tc>
          <w:tcPr>
            <w:tcW w:w="6920" w:type="dxa"/>
            <w:tcBorders/>
            <w:shd w:fill="FFFFFF" w:val="clear"/>
            <w:vAlign w:val="center"/>
          </w:tcPr>
          <w:p>
            <w:pPr>
              <w:pStyle w:val="TableContents"/>
              <w:bidi w:val="0"/>
              <w:spacing w:before="0" w:after="283"/>
              <w:jc w:val="left"/>
              <w:rPr/>
            </w:pPr>
            <w:r>
              <w:rPr/>
              <w:t>Proceeds from issuance of shares and warrants, net of issuance expenses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1,083</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7,555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1" w:name="xdx_40F_eus-gaap--NetCashProvidedByUsedI"/>
            <w:bookmarkEnd w:id="161"/>
          </w:p>
        </w:tc>
      </w:tr>
      <w:tr>
        <w:trPr/>
        <w:tc>
          <w:tcPr>
            <w:tcW w:w="6920"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1,083</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9,759</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2" w:name="xdx_40E_eus-gaap--EffectOfExchangeRateOn"/>
            <w:bookmarkEnd w:id="162"/>
          </w:p>
        </w:tc>
      </w:tr>
      <w:tr>
        <w:trPr/>
        <w:tc>
          <w:tcPr>
            <w:tcW w:w="6920"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390</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128</w:t>
            </w:r>
          </w:p>
        </w:tc>
        <w:tc>
          <w:tcPr>
            <w:tcW w:w="110" w:type="dxa"/>
            <w:tcBorders/>
            <w:shd w:fill="FFFFFF" w:val="clear"/>
            <w:vAlign w:val="center"/>
          </w:tcPr>
          <w:p>
            <w:pPr>
              <w:pStyle w:val="TableContents"/>
              <w:bidi w:val="0"/>
              <w:spacing w:before="0" w:after="283"/>
              <w:jc w:val="left"/>
              <w:rPr/>
            </w:pPr>
            <w:r>
              <w:rPr/>
              <w:t> </w:t>
            </w:r>
            <w:bookmarkStart w:id="163" w:name="xdx_407_eus-gaap--CashCashEquivalentsRes"/>
            <w:bookmarkEnd w:id="163"/>
          </w:p>
        </w:tc>
      </w:tr>
      <w:tr>
        <w:trPr/>
        <w:tc>
          <w:tcPr>
            <w:tcW w:w="6920" w:type="dxa"/>
            <w:tcBorders/>
            <w:shd w:fill="CCEEFF" w:val="clear"/>
            <w:vAlign w:val="center"/>
          </w:tcPr>
          <w:p>
            <w:pPr>
              <w:pStyle w:val="TableContents"/>
              <w:bidi w:val="0"/>
              <w:spacing w:before="0" w:after="283"/>
              <w:jc w:val="left"/>
              <w:rPr/>
            </w:pPr>
            <w:r>
              <w:rPr/>
              <w:t>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b/>
              </w:rPr>
            </w:pPr>
            <w:r>
              <w:rPr>
                <w:b/>
              </w:rPr>
              <w:t>(4,648</w:t>
            </w:r>
          </w:p>
        </w:tc>
        <w:tc>
          <w:tcPr>
            <w:tcW w:w="144" w:type="dxa"/>
            <w:tcBorders/>
            <w:shd w:fill="CCEEFF" w:val="clear"/>
            <w:vAlign w:val="center"/>
          </w:tcPr>
          <w:p>
            <w:pPr>
              <w:pStyle w:val="TableContents"/>
              <w:bidi w:val="0"/>
              <w:spacing w:before="0" w:after="283"/>
              <w:jc w:val="left"/>
              <w:rPr>
                <w:b/>
              </w:rPr>
            </w:pPr>
            <w:r>
              <w:rPr>
                <w:b/>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b/>
              </w:rPr>
            </w:pPr>
            <w:r>
              <w:rPr>
                <w:b/>
              </w:rPr>
              <w:t>5,216</w:t>
            </w:r>
          </w:p>
        </w:tc>
        <w:tc>
          <w:tcPr>
            <w:tcW w:w="110" w:type="dxa"/>
            <w:tcBorders/>
            <w:shd w:fill="CCEEFF" w:val="clear"/>
            <w:vAlign w:val="center"/>
          </w:tcPr>
          <w:p>
            <w:pPr>
              <w:pStyle w:val="TableContents"/>
              <w:bidi w:val="0"/>
              <w:spacing w:before="0" w:after="283"/>
              <w:jc w:val="left"/>
              <w:rPr/>
            </w:pPr>
            <w:r>
              <w:rPr/>
              <w:t> </w:t>
            </w:r>
            <w:bookmarkStart w:id="164" w:name="xdx_407_eus-gaap--CashCashEquivalentsRes"/>
            <w:bookmarkEnd w:id="164"/>
          </w:p>
        </w:tc>
      </w:tr>
      <w:tr>
        <w:trPr/>
        <w:tc>
          <w:tcPr>
            <w:tcW w:w="6920" w:type="dxa"/>
            <w:tcBorders/>
            <w:shd w:fill="FFFFFF" w:val="clear"/>
            <w:vAlign w:val="center"/>
          </w:tcPr>
          <w:p>
            <w:pPr>
              <w:pStyle w:val="TableContents"/>
              <w:bidi w:val="0"/>
              <w:spacing w:before="0" w:after="283"/>
              <w:jc w:val="left"/>
              <w:rPr/>
            </w:pPr>
            <w:r>
              <w:rPr/>
              <w:t>Cash, cash equivalents and restricted cash at the beginning of the period</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20,229</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17,468</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5" w:name="xdx_406_eus-gaap--CashCashEquivalentsRes"/>
            <w:bookmarkEnd w:id="165"/>
          </w:p>
        </w:tc>
      </w:tr>
      <w:tr>
        <w:trPr/>
        <w:tc>
          <w:tcPr>
            <w:tcW w:w="6920" w:type="dxa"/>
            <w:tcBorders/>
            <w:shd w:fill="FFFFFF" w:val="clear"/>
            <w:vAlign w:val="center"/>
          </w:tcPr>
          <w:p>
            <w:pPr>
              <w:pStyle w:val="TableContents"/>
              <w:bidi w:val="0"/>
              <w:spacing w:before="0" w:after="283"/>
              <w:jc w:val="left"/>
              <w:rPr>
                <w:b/>
              </w:rPr>
            </w:pPr>
            <w:r>
              <w:rPr>
                <w:b/>
              </w:rPr>
              <w:t>Cash, cash equivalents and restricted cash at the end of the period</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15,581</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22,684</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6" w:name="xdx_40E_eus-gaap--NoncashInvestingAndFin"/>
            <w:bookmarkEnd w:id="166"/>
          </w:p>
        </w:tc>
      </w:tr>
      <w:tr>
        <w:trPr/>
        <w:tc>
          <w:tcPr>
            <w:tcW w:w="6920" w:type="dxa"/>
            <w:tcBorders/>
            <w:shd w:fill="FFFFFF" w:val="clear"/>
            <w:vAlign w:val="center"/>
          </w:tcPr>
          <w:p>
            <w:pPr>
              <w:pStyle w:val="TableContents"/>
              <w:bidi w:val="0"/>
              <w:spacing w:before="0" w:after="283"/>
              <w:jc w:val="left"/>
              <w:rPr>
                <w:b/>
                <w:u w:val="single"/>
              </w:rPr>
            </w:pPr>
            <w:r>
              <w:rPr>
                <w:b/>
                <w:u w:val="single"/>
              </w:rPr>
              <w:t>Non Cash Activities: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7" w:name="xdx_409_ecustom--AcquisitionOfSubsidiary"/>
            <w:bookmarkEnd w:id="167"/>
          </w:p>
        </w:tc>
      </w:tr>
      <w:tr>
        <w:trPr/>
        <w:tc>
          <w:tcPr>
            <w:tcW w:w="6920" w:type="dxa"/>
            <w:tcBorders/>
            <w:shd w:fill="CCEEFF" w:val="clear"/>
            <w:vAlign w:val="center"/>
          </w:tcPr>
          <w:p>
            <w:pPr>
              <w:pStyle w:val="TableContents"/>
              <w:bidi w:val="0"/>
              <w:spacing w:before="0" w:after="283"/>
              <w:jc w:val="left"/>
              <w:rPr/>
            </w:pPr>
            <w:r>
              <w:rPr/>
              <w:t>Acquisition of subsidiary through issuance of ordinary shares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1,073</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68" w:name="sp_006"/>
      <w:bookmarkEnd w:id="168"/>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UNAUDITED INTERIM CONDENSED CONSOLIDATED STATEMENTS OF CASH FLOWS (Cont.)</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w:t>
      </w:r>
    </w:p>
    <w:p>
      <w:pPr>
        <w:pStyle w:val="TextBody"/>
        <w:bidi w:val="0"/>
        <w:spacing w:before="0" w:after="0"/>
        <w:ind w:left="0" w:right="0" w:hanging="0"/>
        <w:jc w:val="left"/>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260"/>
        <w:gridCol w:w="23"/>
        <w:gridCol w:w="4025"/>
      </w:tblGrid>
      <w:tr>
        <w:trPr/>
        <w:tc>
          <w:tcPr>
            <w:tcW w:w="260" w:type="dxa"/>
            <w:tcBorders/>
            <w:vAlign w:val="center"/>
          </w:tcPr>
          <w:p>
            <w:pPr>
              <w:pStyle w:val="TableContents"/>
              <w:bidi w:val="0"/>
              <w:spacing w:before="0" w:after="283"/>
              <w:jc w:val="right"/>
              <w:rPr>
                <w:rFonts w:ascii="Times New Roman;Times;Serif" w:hAnsi="Times New Roman;Times;Serif"/>
                <w:b/>
                <w:sz w:val="20"/>
              </w:rPr>
            </w:pPr>
            <w:bookmarkStart w:id="169" w:name="xdx_F0B_z3qfsDvPhWIl"/>
            <w:bookmarkEnd w:id="169"/>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4025" w:type="dxa"/>
            <w:tcBorders/>
            <w:vAlign w:val="center"/>
          </w:tcPr>
          <w:p>
            <w:pPr>
              <w:pStyle w:val="TableContents"/>
              <w:bidi w:val="0"/>
              <w:spacing w:before="0" w:after="283"/>
              <w:jc w:val="both"/>
              <w:rPr>
                <w:rFonts w:ascii="Times New Roman;Times;Serif" w:hAnsi="Times New Roman;Times;Serif"/>
                <w:b/>
                <w:sz w:val="20"/>
              </w:rPr>
            </w:pPr>
            <w:bookmarkStart w:id="170" w:name="xdx_F11_zowQoobkh3ql"/>
            <w:bookmarkEnd w:id="170"/>
            <w:r>
              <w:rPr>
                <w:rFonts w:ascii="Times New Roman;Times;Serif" w:hAnsi="Times New Roman;Times;Serif"/>
                <w:b/>
                <w:sz w:val="20"/>
              </w:rPr>
              <w:t>INITIAL CONSOLIDATION OF SUBSIDIARY</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1" w:name="xdx_30E_112_pn3n3_zY6tSwc6BbJa"/>
      <w:bookmarkStart w:id="172" w:name="xdx_30E_112_pn3n3_zY6tSwc6BbJa"/>
      <w:bookmarkEnd w:id="172"/>
    </w:p>
    <w:tbl>
      <w:tblPr>
        <w:tblW w:w="7200" w:type="dxa"/>
        <w:jc w:val="left"/>
        <w:tblInd w:w="0" w:type="dxa"/>
        <w:tblLayout w:type="fixed"/>
        <w:tblCellMar>
          <w:top w:w="0" w:type="dxa"/>
          <w:left w:w="0" w:type="dxa"/>
          <w:bottom w:w="0" w:type="dxa"/>
          <w:right w:w="0" w:type="dxa"/>
        </w:tblCellMar>
      </w:tblPr>
      <w:tblGrid>
        <w:gridCol w:w="6410"/>
        <w:gridCol w:w="60"/>
        <w:gridCol w:w="60"/>
        <w:gridCol w:w="560"/>
        <w:gridCol w:w="110"/>
      </w:tblGrid>
      <w:tr>
        <w:trPr/>
        <w:tc>
          <w:tcPr>
            <w:tcW w:w="641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3" w:name="xdx_49F_20260101__20260630_zbw4oYcWxITh"/>
            <w:bookmarkEnd w:id="173"/>
          </w:p>
        </w:tc>
        <w:tc>
          <w:tcPr>
            <w:tcW w:w="560" w:type="dxa"/>
            <w:tcBorders/>
            <w:shd w:fill="CCEEFF" w:val="clear"/>
            <w:vAlign w:val="center"/>
          </w:tcPr>
          <w:p>
            <w:pPr>
              <w:pStyle w:val="TableContents"/>
              <w:bidi w:val="0"/>
              <w:spacing w:before="0" w:after="283"/>
              <w:jc w:val="right"/>
              <w:rPr/>
            </w:pPr>
            <w:r>
              <w:rPr/>
              <w:t>176</w:t>
            </w:r>
          </w:p>
        </w:tc>
        <w:tc>
          <w:tcPr>
            <w:tcW w:w="110" w:type="dxa"/>
            <w:tcBorders/>
            <w:shd w:fill="CCEEFF" w:val="clear"/>
            <w:vAlign w:val="center"/>
          </w:tcPr>
          <w:p>
            <w:pPr>
              <w:pStyle w:val="TableContents"/>
              <w:bidi w:val="0"/>
              <w:spacing w:before="0" w:after="283"/>
              <w:jc w:val="left"/>
              <w:rPr/>
            </w:pPr>
            <w:r>
              <w:rPr/>
              <w:t> </w:t>
            </w:r>
            <w:bookmarkStart w:id="174" w:name="xdx_40F_ecustom--BusinessCombinationReco"/>
            <w:bookmarkEnd w:id="174"/>
          </w:p>
        </w:tc>
      </w:tr>
      <w:tr>
        <w:trPr/>
        <w:tc>
          <w:tcPr>
            <w:tcW w:w="6410" w:type="dxa"/>
            <w:tcBorders/>
            <w:shd w:fill="CCEEFF" w:val="clear"/>
            <w:vAlign w:val="center"/>
          </w:tcPr>
          <w:p>
            <w:pPr>
              <w:pStyle w:val="TableContents"/>
              <w:bidi w:val="0"/>
              <w:spacing w:before="0" w:after="283"/>
              <w:jc w:val="left"/>
              <w:rPr/>
            </w:pPr>
            <w:r>
              <w:rPr/>
              <w:t>Cash and cash equivalents acquired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176</w:t>
            </w:r>
          </w:p>
        </w:tc>
        <w:tc>
          <w:tcPr>
            <w:tcW w:w="110" w:type="dxa"/>
            <w:tcBorders/>
            <w:shd w:fill="CCEEFF" w:val="clear"/>
            <w:vAlign w:val="center"/>
          </w:tcPr>
          <w:p>
            <w:pPr>
              <w:pStyle w:val="TableContents"/>
              <w:bidi w:val="0"/>
              <w:spacing w:before="0" w:after="283"/>
              <w:jc w:val="left"/>
              <w:rPr/>
            </w:pPr>
            <w:r>
              <w:rPr/>
              <w:t> </w:t>
            </w:r>
            <w:bookmarkStart w:id="175" w:name="xdx_409_ecustom--BusinessCombinationReco"/>
            <w:bookmarkEnd w:id="175"/>
          </w:p>
        </w:tc>
      </w:tr>
      <w:tr>
        <w:trPr/>
        <w:tc>
          <w:tcPr>
            <w:tcW w:w="6410" w:type="dxa"/>
            <w:tcBorders/>
            <w:shd w:fill="FFFFFF" w:val="clear"/>
            <w:vAlign w:val="center"/>
          </w:tcPr>
          <w:p>
            <w:pPr>
              <w:pStyle w:val="TableContents"/>
              <w:bidi w:val="0"/>
              <w:spacing w:before="0" w:after="283"/>
              <w:jc w:val="left"/>
              <w:rPr/>
            </w:pPr>
            <w:r>
              <w:rPr/>
              <w:t>Transaction costs paid in cash</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w:t>
            </w:r>
            <w:bookmarkStart w:id="176" w:name="xdx_406_ecustom--BusinessCombinationReco"/>
            <w:bookmarkEnd w:id="176"/>
          </w:p>
        </w:tc>
      </w:tr>
      <w:tr>
        <w:trPr/>
        <w:tc>
          <w:tcPr>
            <w:tcW w:w="6410" w:type="dxa"/>
            <w:tcBorders/>
            <w:shd w:fill="CCEEFF" w:val="clear"/>
            <w:vAlign w:val="center"/>
          </w:tcPr>
          <w:p>
            <w:pPr>
              <w:pStyle w:val="TableContents"/>
              <w:bidi w:val="0"/>
              <w:spacing w:before="0" w:after="283"/>
              <w:jc w:val="left"/>
              <w:rPr>
                <w:b/>
              </w:rPr>
            </w:pPr>
            <w:r>
              <w:rPr>
                <w:b/>
              </w:rPr>
              <w:t>Net cash acquired upon initial consolidation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163</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00" w:type="dxa"/>
            <w:gridSpan w:val="5"/>
            <w:tcBorders/>
            <w:shd w:fill="CCEEFF" w:val="clear"/>
            <w:vAlign w:val="center"/>
          </w:tcPr>
          <w:p>
            <w:pPr>
              <w:pStyle w:val="TableContents"/>
              <w:bidi w:val="0"/>
              <w:spacing w:before="0" w:after="283"/>
              <w:jc w:val="left"/>
              <w:rPr>
                <w:b/>
                <w:u w:val="single"/>
              </w:rPr>
            </w:pPr>
            <w:r>
              <w:rPr>
                <w:b/>
                <w:u w:val="single"/>
              </w:rPr>
              <w:t>Assets and liabilities recognized upon initial consolidation</w:t>
            </w:r>
            <w:bookmarkStart w:id="177" w:name="xdx_40D_ecustom--NoncashOrPartNoncashAcq"/>
            <w:bookmarkEnd w:id="177"/>
          </w:p>
        </w:tc>
      </w:tr>
      <w:tr>
        <w:trPr/>
        <w:tc>
          <w:tcPr>
            <w:tcW w:w="641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176</w:t>
            </w:r>
          </w:p>
        </w:tc>
        <w:tc>
          <w:tcPr>
            <w:tcW w:w="110" w:type="dxa"/>
            <w:tcBorders/>
            <w:shd w:fill="FFFFFF" w:val="clear"/>
            <w:vAlign w:val="center"/>
          </w:tcPr>
          <w:p>
            <w:pPr>
              <w:pStyle w:val="TableContents"/>
              <w:bidi w:val="0"/>
              <w:spacing w:before="0" w:after="283"/>
              <w:jc w:val="left"/>
              <w:rPr/>
            </w:pPr>
            <w:r>
              <w:rPr/>
              <w:t> </w:t>
            </w:r>
            <w:bookmarkStart w:id="178" w:name="xdx_40F_eus-gaap--NoncashOrPartNoncashAc"/>
            <w:bookmarkEnd w:id="178"/>
          </w:p>
        </w:tc>
      </w:tr>
      <w:tr>
        <w:trPr/>
        <w:tc>
          <w:tcPr>
            <w:tcW w:w="6410" w:type="dxa"/>
            <w:tcBorders/>
            <w:shd w:fill="CCEEFF" w:val="clear"/>
            <w:vAlign w:val="center"/>
          </w:tcPr>
          <w:p>
            <w:pPr>
              <w:pStyle w:val="TableContents"/>
              <w:bidi w:val="0"/>
              <w:spacing w:before="0" w:after="283"/>
              <w:jc w:val="left"/>
              <w:rPr/>
            </w:pPr>
            <w:r>
              <w:rPr/>
              <w:t>Trade payables assumed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jc w:val="left"/>
              <w:rPr/>
            </w:pPr>
            <w:r>
              <w:rPr/>
              <w:t>)</w:t>
            </w:r>
            <w:bookmarkStart w:id="179" w:name="xdx_406_eus-gaap--NoncashOrPartNoncashAc"/>
            <w:bookmarkEnd w:id="179"/>
          </w:p>
        </w:tc>
      </w:tr>
      <w:tr>
        <w:trPr/>
        <w:tc>
          <w:tcPr>
            <w:tcW w:w="6410" w:type="dxa"/>
            <w:tcBorders/>
            <w:shd w:fill="FFFFFF" w:val="clear"/>
            <w:vAlign w:val="center"/>
          </w:tcPr>
          <w:p>
            <w:pPr>
              <w:pStyle w:val="TableContents"/>
              <w:bidi w:val="0"/>
              <w:spacing w:before="0" w:after="283"/>
              <w:jc w:val="left"/>
              <w:rPr/>
            </w:pPr>
            <w:r>
              <w:rPr/>
              <w:t>Other accounts payable and accrued expenses assumed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(27</w:t>
            </w:r>
          </w:p>
        </w:tc>
        <w:tc>
          <w:tcPr>
            <w:tcW w:w="110" w:type="dxa"/>
            <w:tcBorders/>
            <w:shd w:fill="FFFFFF" w:val="clear"/>
            <w:vAlign w:val="center"/>
          </w:tcPr>
          <w:p>
            <w:pPr>
              <w:pStyle w:val="TableContents"/>
              <w:bidi w:val="0"/>
              <w:spacing w:before="0" w:after="283"/>
              <w:jc w:val="left"/>
              <w:rPr/>
            </w:pPr>
            <w:r>
              <w:rPr/>
              <w:t>)</w:t>
            </w:r>
            <w:bookmarkStart w:id="180" w:name="xdx_403_ecustom--NoncashOrPartNoncashAcq"/>
            <w:bookmarkEnd w:id="180"/>
          </w:p>
        </w:tc>
      </w:tr>
      <w:tr>
        <w:trPr/>
        <w:tc>
          <w:tcPr>
            <w:tcW w:w="6410" w:type="dxa"/>
            <w:tcBorders/>
            <w:shd w:fill="CCEEFF" w:val="clear"/>
            <w:vAlign w:val="center"/>
          </w:tcPr>
          <w:p>
            <w:pPr>
              <w:pStyle w:val="TableContents"/>
              <w:bidi w:val="0"/>
              <w:spacing w:before="0" w:after="283"/>
              <w:jc w:val="left"/>
              <w:rPr>
                <w:b/>
              </w:rPr>
            </w:pPr>
            <w:r>
              <w:rPr>
                <w:b/>
              </w:rPr>
              <w:t>Net assets upon initial consolidation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113</w:t>
            </w:r>
          </w:p>
        </w:tc>
        <w:tc>
          <w:tcPr>
            <w:tcW w:w="110" w:type="dxa"/>
            <w:tcBorders/>
            <w:shd w:fill="CCEEFF" w:val="clear"/>
            <w:vAlign w:val="center"/>
          </w:tcPr>
          <w:p>
            <w:pPr>
              <w:pStyle w:val="TableContents"/>
              <w:bidi w:val="0"/>
              <w:spacing w:before="0" w:after="283"/>
              <w:jc w:val="left"/>
              <w:rPr/>
            </w:pPr>
            <w:r>
              <w:rPr/>
              <w:t> </w:t>
            </w:r>
            <w:bookmarkStart w:id="181" w:name="xdx_407_ecustom--NoncashOrPartNoncashAcq"/>
            <w:bookmarkEnd w:id="181"/>
          </w:p>
        </w:tc>
      </w:tr>
      <w:tr>
        <w:trPr/>
        <w:tc>
          <w:tcPr>
            <w:tcW w:w="6410" w:type="dxa"/>
            <w:tcBorders/>
            <w:shd w:fill="FFFFFF" w:val="clear"/>
            <w:vAlign w:val="center"/>
          </w:tcPr>
          <w:p>
            <w:pPr>
              <w:pStyle w:val="TableContents"/>
              <w:bidi w:val="0"/>
              <w:spacing w:before="0" w:after="283"/>
              <w:jc w:val="left"/>
              <w:rPr/>
            </w:pPr>
            <w:r>
              <w:rPr/>
              <w:t>Non-controlling interests recognized upon initial consolidation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(55</w:t>
            </w:r>
          </w:p>
        </w:tc>
        <w:tc>
          <w:tcPr>
            <w:tcW w:w="110" w:type="dxa"/>
            <w:tcBorders/>
            <w:shd w:fill="FFFFFF" w:val="clear"/>
            <w:vAlign w:val="center"/>
          </w:tcPr>
          <w:p>
            <w:pPr>
              <w:pStyle w:val="TableContents"/>
              <w:bidi w:val="0"/>
              <w:spacing w:before="0" w:after="283"/>
              <w:jc w:val="left"/>
              <w:rPr/>
            </w:pPr>
            <w:r>
              <w:rPr/>
              <w:t>)</w:t>
            </w:r>
            <w:bookmarkStart w:id="182" w:name="xdx_404_eus-gaap--NoncashOrPartNoncashAc"/>
            <w:bookmarkEnd w:id="182"/>
          </w:p>
        </w:tc>
      </w:tr>
      <w:tr>
        <w:trPr/>
        <w:tc>
          <w:tcPr>
            <w:tcW w:w="6410" w:type="dxa"/>
            <w:tcBorders/>
            <w:shd w:fill="CCEEFF" w:val="clear"/>
            <w:vAlign w:val="center"/>
          </w:tcPr>
          <w:p>
            <w:pPr>
              <w:pStyle w:val="TableContents"/>
              <w:bidi w:val="0"/>
              <w:spacing w:before="0" w:after="283"/>
              <w:jc w:val="left"/>
              <w:rPr>
                <w:b/>
              </w:rPr>
            </w:pPr>
            <w:r>
              <w:rPr>
                <w:b/>
              </w:rPr>
              <w:t>Net assets attributable to Rail Vision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58</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00" w:type="dxa"/>
            <w:gridSpan w:val="5"/>
            <w:tcBorders/>
            <w:shd w:fill="CCEEFF" w:val="clear"/>
            <w:vAlign w:val="center"/>
          </w:tcPr>
          <w:p>
            <w:pPr>
              <w:pStyle w:val="TableContents"/>
              <w:bidi w:val="0"/>
              <w:spacing w:before="0" w:after="283"/>
              <w:jc w:val="left"/>
              <w:rPr>
                <w:b/>
                <w:u w:val="single"/>
              </w:rPr>
            </w:pPr>
            <w:r>
              <w:rPr>
                <w:b/>
                <w:u w:val="single"/>
              </w:rPr>
              <w:t>Acquired IPR&amp;D calculation</w:t>
            </w:r>
            <w:bookmarkStart w:id="183" w:name="xdx_40B_ecustom--BusinessCombinationStep"/>
            <w:bookmarkEnd w:id="183"/>
          </w:p>
        </w:tc>
      </w:tr>
      <w:tr>
        <w:trPr/>
        <w:tc>
          <w:tcPr>
            <w:tcW w:w="6410" w:type="dxa"/>
            <w:tcBorders/>
            <w:shd w:fill="FFFFFF" w:val="clear"/>
            <w:vAlign w:val="center"/>
          </w:tcPr>
          <w:p>
            <w:pPr>
              <w:pStyle w:val="TableContents"/>
              <w:bidi w:val="0"/>
              <w:spacing w:before="0" w:after="283"/>
              <w:jc w:val="left"/>
              <w:rPr/>
            </w:pPr>
            <w:r>
              <w:rPr/>
              <w:t>Fair value of ordinary shares 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1,073</w:t>
            </w:r>
          </w:p>
        </w:tc>
        <w:tc>
          <w:tcPr>
            <w:tcW w:w="110" w:type="dxa"/>
            <w:tcBorders/>
            <w:shd w:fill="FFFFFF" w:val="clear"/>
            <w:vAlign w:val="center"/>
          </w:tcPr>
          <w:p>
            <w:pPr>
              <w:pStyle w:val="TableContents"/>
              <w:bidi w:val="0"/>
              <w:spacing w:before="0" w:after="283"/>
              <w:jc w:val="left"/>
              <w:rPr/>
            </w:pPr>
            <w:r>
              <w:rPr/>
              <w:t> </w:t>
            </w:r>
            <w:bookmarkStart w:id="184" w:name="xdx_409_ecustom--BusinessCombinationOfAc"/>
            <w:bookmarkEnd w:id="184"/>
          </w:p>
        </w:tc>
      </w:tr>
      <w:tr>
        <w:trPr/>
        <w:tc>
          <w:tcPr>
            <w:tcW w:w="6410" w:type="dxa"/>
            <w:tcBorders/>
            <w:shd w:fill="CCEEFF" w:val="clear"/>
            <w:vAlign w:val="center"/>
          </w:tcPr>
          <w:p>
            <w:pPr>
              <w:pStyle w:val="TableContents"/>
              <w:bidi w:val="0"/>
              <w:spacing w:before="0" w:after="283"/>
              <w:jc w:val="left"/>
              <w:rPr/>
            </w:pPr>
            <w:r>
              <w:rPr/>
              <w:t>Transaction costs paid in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bookmarkStart w:id="185" w:name="xdx_406_ecustom--BusinessCombinationOfAc"/>
            <w:bookmarkEnd w:id="185"/>
          </w:p>
        </w:tc>
      </w:tr>
      <w:tr>
        <w:trPr/>
        <w:tc>
          <w:tcPr>
            <w:tcW w:w="6410" w:type="dxa"/>
            <w:tcBorders/>
            <w:shd w:fill="FFFFFF" w:val="clear"/>
            <w:vAlign w:val="center"/>
          </w:tcPr>
          <w:p>
            <w:pPr>
              <w:pStyle w:val="TableContents"/>
              <w:bidi w:val="0"/>
              <w:spacing w:before="0" w:after="283"/>
              <w:jc w:val="left"/>
              <w:rPr/>
            </w:pPr>
            <w:r>
              <w:rPr/>
              <w:t>Less: net assets attributable to Rail Vision upon initial consolidation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110" w:type="dxa"/>
            <w:tcBorders/>
            <w:shd w:fill="FFFFFF" w:val="clear"/>
            <w:vAlign w:val="center"/>
          </w:tcPr>
          <w:p>
            <w:pPr>
              <w:pStyle w:val="TableContents"/>
              <w:bidi w:val="0"/>
              <w:spacing w:before="0" w:after="283"/>
              <w:jc w:val="left"/>
              <w:rPr/>
            </w:pPr>
            <w:r>
              <w:rPr/>
              <w:t>)</w:t>
            </w:r>
            <w:bookmarkStart w:id="186" w:name="xdx_405_ecustom--BusinessCombinationOfAc"/>
            <w:bookmarkEnd w:id="186"/>
          </w:p>
        </w:tc>
      </w:tr>
      <w:tr>
        <w:trPr/>
        <w:tc>
          <w:tcPr>
            <w:tcW w:w="6410" w:type="dxa"/>
            <w:tcBorders/>
            <w:shd w:fill="CCEEFF" w:val="clear"/>
            <w:vAlign w:val="center"/>
          </w:tcPr>
          <w:p>
            <w:pPr>
              <w:pStyle w:val="TableContents"/>
              <w:bidi w:val="0"/>
              <w:spacing w:before="0" w:after="283"/>
              <w:jc w:val="left"/>
              <w:rPr>
                <w:b/>
              </w:rPr>
            </w:pPr>
            <w:r>
              <w:rPr>
                <w:b/>
              </w:rPr>
              <w:t>Acquired IPR&amp;D written off</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1,028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87" w:name="sp_007"/>
      <w:bookmarkEnd w:id="187"/>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the Interim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and per share data and exercise prices)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8" w:name="xdx_800_eus-gaap--OrganizationConsolidat"/>
      <w:bookmarkEnd w:id="188"/>
      <w:r>
        <w:rPr>
          <w:rFonts w:ascii="Times New Roman;Times;Serif" w:hAnsi="Times New Roman;Times;Serif"/>
          <w:b/>
          <w:i w:val="false"/>
          <w:caps w:val="false"/>
          <w:smallCaps w:val="false"/>
          <w:sz w:val="20"/>
        </w:rPr>
        <w:t xml:space="preserve">NOTE 1 - </w:t>
      </w:r>
      <w:bookmarkStart w:id="189" w:name="xdx_822_ziSWvb3TsjG7"/>
      <w:bookmarkEnd w:id="189"/>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200"/>
        <w:gridCol w:w="1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w:t>
            </w:r>
          </w:p>
        </w:tc>
        <w:tc>
          <w:tcPr>
            <w:tcW w:w="14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 Entity</w:t>
            </w:r>
          </w:p>
        </w:tc>
      </w:tr>
    </w:tbl>
    <w:p>
      <w:pPr>
        <w:pStyle w:val="TextBody"/>
        <w:bidi w:val="0"/>
        <w:spacing w:before="0" w:after="0"/>
        <w:ind w:left="168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Ltd. (the “Company”) was incorporated and registered in Israel on April 18, 2016. The Company is an early commercialization stage technology company focused on transforming railway safety through advanced AI-integrated sensing systems. The Company develop and commercialize proprietary, multi-spectral electro-optic platforms that provide extended-range situational awareness and real-time hazard detection. Using machine learning algorithms to identify and classify obstacles, the Company’s technology enhances safety, improves operational efficiency and supports continuity across deployments.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the Company acquired a </w:t>
      </w:r>
      <w:bookmarkStart w:id="190" w:name="xdx_903_eus-gaap--BusinessAcquisitionPer"/>
      <w:bookmarkEnd w:id="190"/>
      <w:r>
        <w:rPr>
          <w:rFonts w:ascii="Times New Roman;Times;Serif" w:hAnsi="Times New Roman;Times;Serif"/>
          <w:b w:val="false"/>
          <w:i w:val="false"/>
          <w:caps w:val="false"/>
          <w:smallCaps w:val="false"/>
          <w:sz w:val="20"/>
        </w:rPr>
        <w:t>51% ownership interest in Quantum Transportation Ltd. (“Quantum Transportation”) and, as a result, obtained control of Quantum Transportation. Accordingly, the financial results of Quantum Transportation have been consolidated into the Company’s condensed consolidated financial statements from the acquisition date. Quantum Transportation is an Israeli technology company focused on quantum-computing-based error-correction algorithms and holds an exclusive sublicense for rail technologies under a pending patent relating to quantum error correction. For additional information regarding the acquisition of Quantum Transportation, see Note 3.</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interim condensed consolidated financial statements should be read in conjunction with the Company’s audited financial statements as of December 31, 2025 and for the year ended on that date, and the accompanying notes included in the Company’s Annual Report on Form 20-F, filed with the Securities and Exchange Commission on March 31, 2026.</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activities are subject to significant risks and uncertainties. The Company has incurred significant losses since the date of its inception and anticipates that it will continue to incur significant losses until it will be able to successfully commercialize its products. Failure to obtain this necessary capital when needed may force the Company to delay, limit or terminate its product development efforts or other operations. In addition, the Company is subject to risks from, among other things, competition associated with the industry in general, other risks associated with financing, liquidity requirements, rapidly changing customer requirements, the loss of key personnel and the effect of planned expansion of operations on the future results of the Company.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generated significant revenues from its activities and has incurred substantial operating losses. Management expects the Company to continue to generate substantial operating losses and to continue to fund its operations primarily through the utilization of its current financial resources, sales of its products, and through additional raises of capital.</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current monthly burn rate, the management anticipates that its cash and cash equivalents as of the issuance date of the financial statements and the future expected cash flow from sales will be sufficient for more than 12 months of operations.</w:t>
      </w:r>
    </w:p>
    <w:p>
      <w:pPr>
        <w:pStyle w:val="TextBody"/>
        <w:bidi w:val="0"/>
        <w:spacing w:before="0" w:after="0"/>
        <w:ind w:left="1080" w:right="0" w:firstLine="54"/>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the Interim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and per share data and exercise prices)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 (Cont.)</w:t>
      </w:r>
    </w:p>
    <w:p>
      <w:pPr>
        <w:pStyle w:val="TextBody"/>
        <w:bidi w:val="0"/>
        <w:spacing w:before="0" w:after="0"/>
        <w:ind w:left="1080" w:right="0" w:hanging="0"/>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75"/>
        <w:gridCol w:w="200"/>
        <w:gridCol w:w="12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Split:</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2026, the Company effected a one-for-thirty (</w:t>
      </w:r>
      <w:bookmarkStart w:id="191" w:name="xdx_903_eus-gaap--StockholdersEquityReve"/>
      <w:bookmarkEnd w:id="191"/>
      <w:r>
        <w:rPr>
          <w:rFonts w:ascii="Times New Roman;Times;Serif" w:hAnsi="Times New Roman;Times;Serif"/>
          <w:b w:val="false"/>
          <w:i w:val="false"/>
          <w:caps w:val="false"/>
          <w:smallCaps w:val="false"/>
          <w:sz w:val="20"/>
        </w:rPr>
        <w:t>1-for-30) reverse stock split of its outstanding ordinary shares (the “Reverse Split”). As a result of the Reverse Split, every thirty (30) ordinary shares, no par value per share, were consolidated into one (1) new ordinary share, no par value per share. All outstanding securities entitling their holders to purchase ordinary shares, including options and warrants, were adjusted as a result of the Reverse Split, as required by the terms of those securities. The Reverse Split did not change the number of shares authorized for issuance.</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amounts, and share prices, as well as exercise prices and the number of shares underlying options and warrants, have been adjusted retroactively within these financial statements to reflect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2" w:name="xdx_804_eus-gaap--BasisOfPresentationAnd"/>
      <w:bookmarkEnd w:id="192"/>
      <w:r>
        <w:rPr>
          <w:rFonts w:ascii="Times New Roman;Times;Serif" w:hAnsi="Times New Roman;Times;Serif"/>
          <w:b/>
          <w:i w:val="false"/>
          <w:caps w:val="false"/>
          <w:smallCaps w:val="false"/>
          <w:sz w:val="20"/>
        </w:rPr>
        <w:t xml:space="preserve">NOTE 2 - </w:t>
      </w:r>
      <w:bookmarkStart w:id="193" w:name="xdx_825_zeSkFqrlZoJi"/>
      <w:bookmarkEnd w:id="193"/>
      <w:r>
        <w:rPr>
          <w:rFonts w:ascii="Times New Roman;Times;Serif" w:hAnsi="Times New Roman;Times;Serif"/>
          <w:b/>
          <w:i w:val="false"/>
          <w:caps w:val="false"/>
          <w:smallCaps w:val="false"/>
          <w:sz w:val="20"/>
        </w:rPr>
        <w:t>BASIS OF PRESENTATION AND SIGNIFICANT ACCOUNTING POLICIES</w:t>
      </w:r>
    </w:p>
    <w:p>
      <w:pPr>
        <w:pStyle w:val="TextBody"/>
        <w:bidi w:val="0"/>
        <w:spacing w:before="0" w:after="0"/>
        <w:ind w:left="0" w:right="0" w:hanging="0"/>
        <w:jc w:val="both"/>
        <w:rPr>
          <w:caps w:val="false"/>
          <w:smallCaps w:val="false"/>
        </w:rPr>
      </w:pPr>
      <w:bookmarkStart w:id="194" w:name="xdx_846_ecustom--UnauditedInterimFinanci"/>
      <w:bookmarkEnd w:id="194"/>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200"/>
        <w:gridCol w:w="34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w:t>
            </w:r>
          </w:p>
        </w:tc>
        <w:tc>
          <w:tcPr>
            <w:tcW w:w="3455" w:type="dxa"/>
            <w:tcBorders/>
            <w:vAlign w:val="center"/>
          </w:tcPr>
          <w:p>
            <w:pPr>
              <w:pStyle w:val="TableContents"/>
              <w:bidi w:val="0"/>
              <w:spacing w:before="0" w:after="283"/>
              <w:jc w:val="left"/>
              <w:rPr>
                <w:rFonts w:ascii="Times New Roman;Times;Serif" w:hAnsi="Times New Roman;Times;Serif"/>
                <w:b/>
                <w:sz w:val="20"/>
              </w:rPr>
            </w:pPr>
            <w:bookmarkStart w:id="195" w:name="xdx_86D_zXiqakoPiB4i"/>
            <w:bookmarkEnd w:id="195"/>
            <w:r>
              <w:rPr>
                <w:rFonts w:ascii="Times New Roman;Times;Serif" w:hAnsi="Times New Roman;Times;Serif"/>
                <w:b/>
                <w:sz w:val="20"/>
              </w:rPr>
              <w:t xml:space="preserve">Unaudited Interim Financial Statements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have been prepared in accordance with U.S. generally accepted accounting principles (“GAAP”) for interim financial information. Accordingly, they do not include all the information and footnotes required by GAAP for complete financial statements. In management’s opinion, the unaudited interim financial statements have been prepared on the same basis as the annual financial statements and reflect all adjustments, which include only normal recurring adjustments necessary for the fair presentation of the Company’s financial position as of June 30, 2026, and the Company’s results of operations and cash flows for the six months ended June 30, 2026, and 2025. For further information, reference is made to the financial statements and footnotes thereto included in the Company’s Annual Report on Form 20-F for the year ended December 31, 2025.</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six months ended June 30, 2026, are not necessarily indicative of the results that may be expected for the year ending December 31, 2026.</w:t>
      </w:r>
    </w:p>
    <w:p>
      <w:pPr>
        <w:pStyle w:val="TextBody"/>
        <w:bidi w:val="0"/>
        <w:spacing w:before="0" w:after="0"/>
        <w:ind w:left="0" w:right="0" w:hanging="0"/>
        <w:jc w:val="left"/>
        <w:rPr>
          <w:caps w:val="false"/>
          <w:smallCaps w:val="false"/>
        </w:rPr>
      </w:pPr>
      <w:bookmarkStart w:id="196" w:name="xdx_845_eus-gaap--UseOfEstimates_znPLRB0"/>
      <w:bookmarkEnd w:id="196"/>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75"/>
        <w:gridCol w:w="200"/>
        <w:gridCol w:w="13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370" w:type="dxa"/>
            <w:tcBorders/>
            <w:vAlign w:val="center"/>
          </w:tcPr>
          <w:p>
            <w:pPr>
              <w:pStyle w:val="TableContents"/>
              <w:bidi w:val="0"/>
              <w:spacing w:before="0" w:after="283"/>
              <w:jc w:val="left"/>
              <w:rPr>
                <w:rFonts w:ascii="Times New Roman;Times;Serif" w:hAnsi="Times New Roman;Times;Serif"/>
                <w:b/>
                <w:sz w:val="20"/>
              </w:rPr>
            </w:pPr>
            <w:bookmarkStart w:id="197" w:name="xdx_867_z9tCU9JsaMk4"/>
            <w:bookmarkEnd w:id="197"/>
            <w:r>
              <w:rPr>
                <w:rFonts w:ascii="Times New Roman;Times;Serif" w:hAnsi="Times New Roman;Times;Serif"/>
                <w:b/>
                <w:sz w:val="20"/>
              </w:rPr>
              <w:t>Use of estimates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judgments and assumptions that affect the amounts reported in the financial statements and accompanying notes. Management believes that the estimates, judgments and assumptions used are reasonable based upon information available at the time they are made. Actual results could differ from those estimates.</w:t>
      </w:r>
    </w:p>
    <w:p>
      <w:pPr>
        <w:pStyle w:val="TextBody"/>
        <w:bidi w:val="0"/>
        <w:spacing w:before="0" w:after="0"/>
        <w:ind w:left="1080" w:right="0" w:hanging="0"/>
        <w:jc w:val="both"/>
        <w:rPr>
          <w:caps w:val="false"/>
          <w:smallCaps w:val="false"/>
        </w:rPr>
      </w:pPr>
      <w:bookmarkStart w:id="198" w:name="xdx_848_eus-gaap--ConsolidationPolicyTex"/>
      <w:bookmarkEnd w:id="198"/>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200"/>
        <w:gridCol w:w="23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330" w:type="dxa"/>
            <w:tcBorders/>
            <w:vAlign w:val="center"/>
          </w:tcPr>
          <w:p>
            <w:pPr>
              <w:pStyle w:val="TableContents"/>
              <w:bidi w:val="0"/>
              <w:spacing w:before="0" w:after="283"/>
              <w:jc w:val="left"/>
              <w:rPr>
                <w:rFonts w:ascii="Times New Roman;Times;Serif" w:hAnsi="Times New Roman;Times;Serif"/>
                <w:b/>
                <w:sz w:val="20"/>
              </w:rPr>
            </w:pPr>
            <w:bookmarkStart w:id="199" w:name="xdx_863_z3PeAanL6zN1"/>
            <w:bookmarkEnd w:id="199"/>
            <w:r>
              <w:rPr>
                <w:rFonts w:ascii="Times New Roman;Times;Serif" w:hAnsi="Times New Roman;Times;Serif"/>
                <w:b/>
                <w:sz w:val="20"/>
              </w:rPr>
              <w:t>Principles of Consolidation</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the Company and all entities in which the Company has a controlling financial interest. Intercompany accounts and transactions have been eliminated in consolidation. Non-controlling interests represent the portion of the net assets and results of operations of consolidated subsidiaries attributable to equity holders other than the Company.</w:t>
      </w:r>
    </w:p>
    <w:p>
      <w:pPr>
        <w:pStyle w:val="TextBody"/>
        <w:bidi w:val="0"/>
        <w:spacing w:before="0" w:after="0"/>
        <w:ind w:left="0" w:right="0" w:hanging="0"/>
        <w:jc w:val="both"/>
        <w:rPr>
          <w:caps w:val="false"/>
          <w:smallCaps w:val="false"/>
        </w:rPr>
      </w:pPr>
      <w:bookmarkStart w:id="200" w:name="xdx_858_zxPzhdWC5W4l"/>
      <w:bookmarkEnd w:id="20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the Interim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and per share data and exercise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1" w:name="xdx_800_eus-gaap--BusinessCombinationDis"/>
      <w:bookmarkEnd w:id="201"/>
      <w:r>
        <w:rPr>
          <w:rFonts w:ascii="Times New Roman;Times;Serif" w:hAnsi="Times New Roman;Times;Serif"/>
          <w:b/>
          <w:i w:val="false"/>
          <w:caps w:val="false"/>
          <w:smallCaps w:val="false"/>
          <w:sz w:val="20"/>
        </w:rPr>
        <w:t xml:space="preserve">NOTE 3 – </w:t>
      </w:r>
      <w:bookmarkStart w:id="202" w:name="xdx_825_zpctySSxAgh9"/>
      <w:bookmarkEnd w:id="202"/>
      <w:r>
        <w:rPr>
          <w:rFonts w:ascii="Times New Roman;Times;Serif" w:hAnsi="Times New Roman;Times;Serif"/>
          <w:b/>
          <w:i w:val="false"/>
          <w:caps w:val="false"/>
          <w:smallCaps w:val="false"/>
          <w:sz w:val="20"/>
        </w:rPr>
        <w:t>ACQUISITION OF QUANTUM TRANSPORTATION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the Company completed the acquisition of a </w:t>
      </w:r>
      <w:bookmarkStart w:id="203" w:name="xdx_904_eus-gaap--BusinessAcquisitionPer"/>
      <w:bookmarkEnd w:id="203"/>
      <w:r>
        <w:rPr>
          <w:rFonts w:ascii="Times New Roman;Times;Serif" w:hAnsi="Times New Roman;Times;Serif"/>
          <w:b w:val="false"/>
          <w:i w:val="false"/>
          <w:caps w:val="false"/>
          <w:smallCaps w:val="false"/>
          <w:sz w:val="20"/>
        </w:rPr>
        <w:t>51% ownership interest in Quantum Transportation, pursuant to a definitive Securities Exchange Agreement (“SEA”), dated November 30, 2025, with Quantum Transportation and certain shareholders of Quantum Transportation (the “Exchanging Shareholders”), thereby obtaining majority ownership and control of Quantum Transportation.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 Transportation was incorporated in Israel on August 31, 2025 and is a technology company focused on quantum-computing-based error-correction algorithms. Quantum Transportation holds an exclusive sublicense for rail technologies under an innovative pending patent relating to quantum error correction owned by Ramot, the technology transfer company of Tel Aviv University.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consideration for </w:t>
      </w:r>
      <w:bookmarkStart w:id="204" w:name="xdx_903_eus-gaap--BusinessAcquisitionPer"/>
      <w:bookmarkEnd w:id="204"/>
      <w:r>
        <w:rPr>
          <w:rFonts w:ascii="Times New Roman;Times;Serif" w:hAnsi="Times New Roman;Times;Serif"/>
          <w:b w:val="false"/>
          <w:i w:val="false"/>
          <w:caps w:val="false"/>
          <w:smallCaps w:val="false"/>
          <w:sz w:val="20"/>
        </w:rPr>
        <w:t xml:space="preserve">51% of Quantum Transportation’s issued and outstanding share capital on a fully diluted, post-closing basis, the Company issued </w:t>
      </w:r>
      <w:bookmarkStart w:id="205" w:name="xdx_90E_eus-gaap--StockIssuedDuringPerio"/>
      <w:bookmarkEnd w:id="205"/>
      <w:r>
        <w:rPr>
          <w:rFonts w:ascii="Times New Roman;Times;Serif" w:hAnsi="Times New Roman;Times;Serif"/>
          <w:b w:val="false"/>
          <w:i w:val="false"/>
          <w:caps w:val="false"/>
          <w:smallCaps w:val="false"/>
          <w:sz w:val="20"/>
        </w:rPr>
        <w:t xml:space="preserve">99,424 ordinary shares, representing approximately </w:t>
      </w:r>
      <w:bookmarkStart w:id="206" w:name="xdx_905_eus-gaap--EquityMethodInvestment"/>
      <w:bookmarkEnd w:id="206"/>
      <w:r>
        <w:rPr>
          <w:rFonts w:ascii="Times New Roman;Times;Serif" w:hAnsi="Times New Roman;Times;Serif"/>
          <w:b w:val="false"/>
          <w:i w:val="false"/>
          <w:caps w:val="false"/>
          <w:smallCaps w:val="false"/>
          <w:sz w:val="20"/>
        </w:rPr>
        <w:t>4.99% of the Company’s outstanding share capital as of the signing date of the SEA and prior to such issuance. Certain of the Exchanging Shareholders included Mr. Eli Yoresh and Mr. Ofer Naveh, the Company’s Chairman of the Board of Directors and Chief Financial Officer, respectively.</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ordinary shares issued on the acquisition date (i.e., the closing date) was $</w:t>
      </w:r>
      <w:bookmarkStart w:id="207" w:name="xdx_90C_eus-gaap--BusinessCombinationCon"/>
      <w:bookmarkEnd w:id="207"/>
      <w:r>
        <w:rPr>
          <w:rFonts w:ascii="Times New Roman;Times;Serif" w:hAnsi="Times New Roman;Times;Serif"/>
          <w:b w:val="false"/>
          <w:i w:val="false"/>
          <w:caps w:val="false"/>
          <w:smallCaps w:val="false"/>
          <w:sz w:val="20"/>
        </w:rPr>
        <w:t>1,073. Including transaction costs of $</w:t>
      </w:r>
      <w:bookmarkStart w:id="208" w:name="xdx_909_eus-gaap--BusinessAcquisitionCos"/>
      <w:bookmarkEnd w:id="208"/>
      <w:r>
        <w:rPr>
          <w:rFonts w:ascii="Times New Roman;Times;Serif" w:hAnsi="Times New Roman;Times;Serif"/>
          <w:b w:val="false"/>
          <w:i w:val="false"/>
          <w:caps w:val="false"/>
          <w:smallCaps w:val="false"/>
          <w:sz w:val="20"/>
        </w:rPr>
        <w:t>13, the total acquisition cost amounted to $</w:t>
      </w:r>
      <w:bookmarkStart w:id="209" w:name="xdx_909_eus-gaap--BusinessCombinationAcq"/>
      <w:bookmarkEnd w:id="209"/>
      <w:r>
        <w:rPr>
          <w:rFonts w:ascii="Times New Roman;Times;Serif" w:hAnsi="Times New Roman;Times;Serif"/>
          <w:b w:val="false"/>
          <w:i w:val="false"/>
          <w:caps w:val="false"/>
          <w:smallCaps w:val="false"/>
          <w:sz w:val="20"/>
        </w:rPr>
        <w:t>1,086.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acquired set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and concluded that it did not meet the definition of a business and accordingly, the transaction was accounted for as an asset acquisition.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cost was allocated between the identifiable net assets acquired and the acquired in-process research and development (“IPR&amp;D”) asset based on their relative fair values. The principal asset acquired consisted of the exclusive sublicense rights described above. The Company determined that the acquired IPR&amp;D asset had no alternative future use as of the acquisition date. Accordingly, the portion of the acquisition cost allocated to the acquired IPR&amp;D asset was recognized as research and development expense upon acquisition in accordance with ASC 730, </w:t>
      </w: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210" w:name="xdx_895_eus-gaap--ScheduleOfBusinessAcqu"/>
      <w:bookmarkEnd w:id="210"/>
      <w:r>
        <w:rPr>
          <w:rFonts w:ascii="Times New Roman;Times;Serif" w:hAnsi="Times New Roman;Times;Serif"/>
          <w:b w:val="false"/>
          <w:i w:val="false"/>
          <w:caps w:val="false"/>
          <w:smallCaps w:val="false"/>
          <w:sz w:val="20"/>
        </w:rPr>
        <w:t>The allocation of the acquisition cost was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211" w:name="xdx_8BF_zlhcVKKV0hr4"/>
      <w:bookmarkEnd w:id="211"/>
      <w:r>
        <w:rPr>
          <w:rFonts w:ascii="Times New Roman;Times;Serif" w:hAnsi="Times New Roman;Times;Serif"/>
          <w:b w:val="false"/>
          <w:i w:val="false"/>
          <w:caps w:val="false"/>
          <w:smallCaps w:val="false"/>
          <w:sz w:val="20"/>
        </w:rPr>
        <w:t>SCHEDULE OF ALLOCATION ACQUISITION COST </w:t>
      </w:r>
    </w:p>
    <w:tbl>
      <w:tblPr>
        <w:tblW w:w="10205" w:type="dxa"/>
        <w:jc w:val="left"/>
        <w:tblInd w:w="0" w:type="dxa"/>
        <w:tblLayout w:type="fixed"/>
        <w:tblCellMar>
          <w:top w:w="0" w:type="dxa"/>
          <w:left w:w="0" w:type="dxa"/>
          <w:bottom w:w="0" w:type="dxa"/>
          <w:right w:w="0" w:type="dxa"/>
        </w:tblCellMar>
      </w:tblPr>
      <w:tblGrid>
        <w:gridCol w:w="7345"/>
        <w:gridCol w:w="60"/>
        <w:gridCol w:w="259"/>
        <w:gridCol w:w="2429"/>
        <w:gridCol w:w="112"/>
      </w:tblGrid>
      <w:tr>
        <w:trPr/>
        <w:tc>
          <w:tcPr>
            <w:tcW w:w="7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2" w:name="xdx_498_20260101__20260131__us-gaap--Bus"/>
            <w:bookmarkEnd w:id="212"/>
          </w:p>
        </w:tc>
        <w:tc>
          <w:tcPr>
            <w:tcW w:w="26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 dollars (in thousands)</w:t>
            </w:r>
          </w:p>
        </w:tc>
        <w:tc>
          <w:tcPr>
            <w:tcW w:w="112" w:type="dxa"/>
            <w:tcBorders/>
            <w:vAlign w:val="center"/>
          </w:tcPr>
          <w:p>
            <w:pPr>
              <w:pStyle w:val="TableContents"/>
              <w:bidi w:val="0"/>
              <w:spacing w:before="0" w:after="283"/>
              <w:jc w:val="left"/>
              <w:rPr/>
            </w:pPr>
            <w:r>
              <w:rPr/>
              <w:t> </w:t>
            </w:r>
            <w:bookmarkStart w:id="213" w:name="xdx_405_eus-gaap--BusinessCombinationCon"/>
            <w:bookmarkEnd w:id="213"/>
          </w:p>
        </w:tc>
      </w:tr>
      <w:tr>
        <w:trPr/>
        <w:tc>
          <w:tcPr>
            <w:tcW w:w="7345" w:type="dxa"/>
            <w:tcBorders/>
            <w:shd w:fill="CCEEFF" w:val="clear"/>
            <w:vAlign w:val="center"/>
          </w:tcPr>
          <w:p>
            <w:pPr>
              <w:pStyle w:val="TableContents"/>
              <w:bidi w:val="0"/>
              <w:spacing w:before="0" w:after="283"/>
              <w:jc w:val="both"/>
              <w:rPr/>
            </w:pPr>
            <w:r>
              <w:rPr/>
              <w:t>Fair value of ordinary shares issued</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2429" w:type="dxa"/>
            <w:tcBorders/>
            <w:shd w:fill="CCEEFF" w:val="clear"/>
            <w:vAlign w:val="center"/>
          </w:tcPr>
          <w:p>
            <w:pPr>
              <w:pStyle w:val="TableContents"/>
              <w:bidi w:val="0"/>
              <w:spacing w:before="0" w:after="283"/>
              <w:jc w:val="right"/>
              <w:rPr/>
            </w:pPr>
            <w:r>
              <w:rPr/>
              <w:t>1,073</w:t>
            </w:r>
          </w:p>
        </w:tc>
        <w:tc>
          <w:tcPr>
            <w:tcW w:w="112" w:type="dxa"/>
            <w:tcBorders/>
            <w:shd w:fill="CCEEFF" w:val="clear"/>
            <w:vAlign w:val="center"/>
          </w:tcPr>
          <w:p>
            <w:pPr>
              <w:pStyle w:val="TableContents"/>
              <w:bidi w:val="0"/>
              <w:spacing w:before="0" w:after="283"/>
              <w:jc w:val="left"/>
              <w:rPr/>
            </w:pPr>
            <w:r>
              <w:rPr/>
              <w:t> </w:t>
            </w:r>
          </w:p>
        </w:tc>
      </w:tr>
      <w:tr>
        <w:trPr/>
        <w:tc>
          <w:tcPr>
            <w:tcW w:w="7345" w:type="dxa"/>
            <w:tcBorders/>
            <w:shd w:fill="FFFFFF" w:val="clear"/>
            <w:vAlign w:val="center"/>
          </w:tcPr>
          <w:p>
            <w:pPr>
              <w:pStyle w:val="TableContents"/>
              <w:bidi w:val="0"/>
              <w:spacing w:before="0" w:after="283"/>
              <w:jc w:val="both"/>
              <w:rPr/>
            </w:pPr>
            <w:r>
              <w:rPr/>
              <w:t>Transaction costs</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4" w:name="xdx_98D_eus-gaap--BusinessAcquisitionCos"/>
            <w:bookmarkEnd w:id="214"/>
          </w:p>
        </w:tc>
        <w:tc>
          <w:tcPr>
            <w:tcW w:w="2429"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112" w:type="dxa"/>
            <w:tcBorders/>
            <w:shd w:fill="FFFFFF" w:val="clear"/>
            <w:vAlign w:val="center"/>
          </w:tcPr>
          <w:p>
            <w:pPr>
              <w:pStyle w:val="TableContents"/>
              <w:bidi w:val="0"/>
              <w:spacing w:before="0" w:after="283"/>
              <w:jc w:val="left"/>
              <w:rPr/>
            </w:pPr>
            <w:r>
              <w:rPr/>
              <w:t> </w:t>
            </w:r>
            <w:bookmarkStart w:id="215" w:name="xdx_40F_eus-gaap--BusinessCombinationAcq"/>
            <w:bookmarkEnd w:id="215"/>
          </w:p>
        </w:tc>
      </w:tr>
      <w:tr>
        <w:trPr/>
        <w:tc>
          <w:tcPr>
            <w:tcW w:w="7345" w:type="dxa"/>
            <w:tcBorders/>
            <w:shd w:fill="CCEEFF" w:val="clear"/>
            <w:vAlign w:val="center"/>
          </w:tcPr>
          <w:p>
            <w:pPr>
              <w:pStyle w:val="TableContents"/>
              <w:bidi w:val="0"/>
              <w:spacing w:before="0" w:after="283"/>
              <w:jc w:val="both"/>
              <w:rPr>
                <w:b/>
              </w:rPr>
            </w:pPr>
            <w:r>
              <w:rPr>
                <w:b/>
              </w:rPr>
              <w:t>Total acquisition cost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2429" w:type="dxa"/>
            <w:tcBorders/>
            <w:shd w:fill="CCEEFF" w:val="clear"/>
            <w:vAlign w:val="center"/>
          </w:tcPr>
          <w:p>
            <w:pPr>
              <w:pStyle w:val="TableContents"/>
              <w:bidi w:val="0"/>
              <w:spacing w:before="0" w:after="283"/>
              <w:jc w:val="right"/>
              <w:rPr>
                <w:b/>
              </w:rPr>
            </w:pPr>
            <w:r>
              <w:rPr>
                <w:b/>
              </w:rPr>
              <w:t>1,086</w:t>
            </w:r>
          </w:p>
        </w:tc>
        <w:tc>
          <w:tcPr>
            <w:tcW w:w="112" w:type="dxa"/>
            <w:tcBorders/>
            <w:shd w:fill="CCEEFF" w:val="clear"/>
            <w:vAlign w:val="center"/>
          </w:tcPr>
          <w:p>
            <w:pPr>
              <w:pStyle w:val="TableContents"/>
              <w:bidi w:val="0"/>
              <w:spacing w:before="0" w:after="283"/>
              <w:jc w:val="left"/>
              <w:rPr/>
            </w:pPr>
            <w:r>
              <w:rPr/>
              <w:t> </w:t>
            </w:r>
          </w:p>
        </w:tc>
      </w:tr>
      <w:tr>
        <w:trPr/>
        <w:tc>
          <w:tcPr>
            <w:tcW w:w="7345" w:type="dxa"/>
            <w:tcBorders/>
            <w:shd w:fill="FFFFFF" w:val="clear"/>
            <w:vAlign w:val="center"/>
          </w:tcPr>
          <w:p>
            <w:pPr>
              <w:pStyle w:val="TableContents"/>
              <w:bidi w:val="0"/>
              <w:spacing w:before="0" w:after="283"/>
              <w:jc w:val="both"/>
              <w:rPr/>
            </w:pPr>
            <w:r>
              <w:rPr/>
              <w:t>Net identifiable assets acquired</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6" w:name="xdx_98F_eus-gaap--BusinessCombinationRec"/>
            <w:bookmarkEnd w:id="216"/>
          </w:p>
        </w:tc>
        <w:tc>
          <w:tcPr>
            <w:tcW w:w="2429"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112" w:type="dxa"/>
            <w:tcBorders/>
            <w:shd w:fill="FFFFFF" w:val="clear"/>
            <w:vAlign w:val="center"/>
          </w:tcPr>
          <w:p>
            <w:pPr>
              <w:pStyle w:val="TableContents"/>
              <w:bidi w:val="0"/>
              <w:spacing w:before="0" w:after="283"/>
              <w:jc w:val="left"/>
              <w:rPr/>
            </w:pPr>
            <w:r>
              <w:rPr/>
              <w:t>)</w:t>
            </w:r>
            <w:bookmarkStart w:id="217" w:name="xdx_400_ecustom--BusinessCombinationInPr"/>
            <w:bookmarkEnd w:id="217"/>
          </w:p>
        </w:tc>
      </w:tr>
      <w:tr>
        <w:trPr/>
        <w:tc>
          <w:tcPr>
            <w:tcW w:w="7345" w:type="dxa"/>
            <w:tcBorders/>
            <w:shd w:fill="CCEEFF" w:val="clear"/>
            <w:vAlign w:val="center"/>
          </w:tcPr>
          <w:p>
            <w:pPr>
              <w:pStyle w:val="TableContents"/>
              <w:bidi w:val="0"/>
              <w:spacing w:before="0" w:after="283"/>
              <w:jc w:val="both"/>
              <w:rPr>
                <w:b/>
              </w:rPr>
            </w:pPr>
            <w:r>
              <w:rPr>
                <w:b/>
              </w:rPr>
              <w:t>Acquired IPR&amp;D asset recognized as research and development expense</w:t>
            </w:r>
          </w:p>
        </w:tc>
        <w:tc>
          <w:tcPr>
            <w:tcW w:w="60"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4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1,028</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bookmarkStart w:id="218" w:name="xdx_8A1_zFrLrORO9TXg"/>
      <w:bookmarkEnd w:id="218"/>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recognized research and development expense of $</w:t>
      </w:r>
      <w:bookmarkStart w:id="219" w:name="xdx_909_ecustom--BusinessCombinationInPr"/>
      <w:bookmarkEnd w:id="219"/>
      <w:r>
        <w:rPr>
          <w:rFonts w:ascii="Times New Roman;Times;Serif" w:hAnsi="Times New Roman;Times;Serif"/>
          <w:b w:val="false"/>
          <w:i w:val="false"/>
          <w:caps w:val="false"/>
          <w:smallCaps w:val="false"/>
          <w:sz w:val="20"/>
        </w:rPr>
        <w:t xml:space="preserve">1,028 related to the acquired IPR&amp;D asset. </w:t>
      </w:r>
      <w:bookmarkStart w:id="220" w:name="xdx_904_eus-gaap--Goodwill_iI_pn3n3_do_c"/>
      <w:bookmarkEnd w:id="220"/>
      <w:r>
        <w:rPr>
          <w:rFonts w:ascii="Times New Roman;Times;Serif" w:hAnsi="Times New Roman;Times;Serif"/>
          <w:b w:val="false"/>
          <w:i w:val="false"/>
          <w:caps w:val="false"/>
          <w:smallCaps w:val="false"/>
          <w:sz w:val="20"/>
        </w:rPr>
        <w:t>No goodwill was recognized in connection with the acquisition.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Beginning on the acquisition date, the assets, liabilities, results of operations and cash flows of Quantum Transportation have been included in the Company’s condensed consolidated financial statements. All intercompany balances and transactions have been eliminated upon consolidation. The remaining </w:t>
      </w:r>
      <w:bookmarkStart w:id="221" w:name="xdx_906_eus-gaap--EquityMethodInvestment"/>
      <w:bookmarkEnd w:id="221"/>
      <w:r>
        <w:rPr>
          <w:rFonts w:ascii="Times New Roman;Times;Serif" w:hAnsi="Times New Roman;Times;Serif"/>
          <w:b w:val="false"/>
          <w:i w:val="false"/>
          <w:caps w:val="false"/>
          <w:smallCaps w:val="false"/>
          <w:sz w:val="20"/>
        </w:rPr>
        <w:t>49% equity interest in Quantum Transportation is presented as non-controlling interests in the Company’s condensed consolidated financial statements.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the Interim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and per share data and exercise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ACQUISITION OF QUANTUM TRANSPORTATION LTD. (Cont.)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the Company also entered into a convertible loan agreement (the “Loan Agreement”) pursuant to which it committed to provide Quantum Transportation with a loan facility of up to $</w:t>
      </w:r>
      <w:bookmarkStart w:id="222" w:name="xdx_906_eus-gaap--LineOfCreditFacilityMa"/>
      <w:bookmarkEnd w:id="222"/>
      <w:r>
        <w:rPr>
          <w:rFonts w:ascii="Times New Roman;Times;Serif" w:hAnsi="Times New Roman;Times;Serif"/>
          <w:b w:val="false"/>
          <w:i w:val="false"/>
          <w:caps w:val="false"/>
          <w:smallCaps w:val="false"/>
          <w:sz w:val="20"/>
        </w:rPr>
        <w:t xml:space="preserve">700, bearing interest at </w:t>
      </w:r>
      <w:bookmarkStart w:id="223" w:name="xdx_902_eus-gaap--LineOfCreditFacilityIn"/>
      <w:bookmarkEnd w:id="223"/>
      <w:r>
        <w:rPr>
          <w:rFonts w:ascii="Times New Roman;Times;Serif" w:hAnsi="Times New Roman;Times;Serif"/>
          <w:b w:val="false"/>
          <w:i w:val="false"/>
          <w:caps w:val="false"/>
          <w:smallCaps w:val="false"/>
          <w:sz w:val="20"/>
        </w:rPr>
        <w:t>8% per annum and drawable from time to time in accordance with the terms of the Loan Agreement. During the six months ended June 30, 2026, the Company advanced $</w:t>
      </w:r>
      <w:bookmarkStart w:id="224" w:name="xdx_90D_eus-gaap--LoansAssumed1_pn3n3_c2"/>
      <w:bookmarkEnd w:id="224"/>
      <w:r>
        <w:rPr>
          <w:rFonts w:ascii="Times New Roman;Times;Serif" w:hAnsi="Times New Roman;Times;Serif"/>
          <w:b w:val="false"/>
          <w:i w:val="false"/>
          <w:caps w:val="false"/>
          <w:smallCaps w:val="false"/>
          <w:sz w:val="20"/>
        </w:rPr>
        <w:t>200 under the Loan Agreement. As of June 30, 2026, including accrued interest, the outstanding balance under the Loan Agreement amounted to $</w:t>
      </w:r>
      <w:bookmarkStart w:id="225" w:name="xdx_905_eus-gaap--InterestPayableCurrent"/>
      <w:bookmarkEnd w:id="225"/>
      <w:r>
        <w:rPr>
          <w:rFonts w:ascii="Times New Roman;Times;Serif" w:hAnsi="Times New Roman;Times;Serif"/>
          <w:b w:val="false"/>
          <w:i w:val="false"/>
          <w:caps w:val="false"/>
          <w:smallCaps w:val="false"/>
          <w:sz w:val="20"/>
        </w:rPr>
        <w:t>204.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advanced under the Loan Agreement and the related accrued interest are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6" w:name="xdx_806_ecustom--SignificantEventsInTheR"/>
      <w:bookmarkEnd w:id="226"/>
      <w:r>
        <w:rPr>
          <w:rFonts w:ascii="Times New Roman;Times;Serif" w:hAnsi="Times New Roman;Times;Serif"/>
          <w:b/>
          <w:i w:val="false"/>
          <w:caps w:val="false"/>
          <w:smallCaps w:val="false"/>
          <w:sz w:val="20"/>
        </w:rPr>
        <w:t xml:space="preserve">NOTE 4 - </w:t>
      </w:r>
      <w:bookmarkStart w:id="227" w:name="xdx_828_z4726FEtlu8c"/>
      <w:bookmarkEnd w:id="227"/>
      <w:r>
        <w:rPr>
          <w:rFonts w:ascii="Times New Roman;Times;Serif" w:hAnsi="Times New Roman;Times;Serif"/>
          <w:b/>
          <w:i w:val="false"/>
          <w:caps w:val="false"/>
          <w:smallCaps w:val="false"/>
          <w:sz w:val="20"/>
        </w:rPr>
        <w:t>SIGNIFICANT EVENTS IN THE REPORTING PERIOD</w:t>
      </w:r>
    </w:p>
    <w:p>
      <w:pPr>
        <w:pStyle w:val="TextBody"/>
        <w:bidi w:val="0"/>
        <w:spacing w:before="0" w:after="0"/>
        <w:ind w:left="0" w:right="0" w:hanging="0"/>
        <w:jc w:val="both"/>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38"/>
        <w:gridCol w:w="20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acquisition of majority stake in Quantum Transportation Ltd. see Note 3.</w:t>
            </w:r>
          </w:p>
        </w:tc>
      </w:tr>
    </w:tbl>
    <w:p>
      <w:pPr>
        <w:pStyle w:val="TextBody"/>
        <w:bidi w:val="0"/>
        <w:spacing w:before="0" w:after="0"/>
        <w:ind w:left="1083" w:right="0" w:hanging="0"/>
        <w:jc w:val="left"/>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20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9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Lease Agreement</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2026, the Company entered into a lease agreement for new office premises, including a research and development facility, located in Infinity Park, Ra’anana, Israel, comprising approximately </w:t>
      </w:r>
      <w:bookmarkStart w:id="228" w:name="xdx_901_eus-gaap--AreaOfLand_iI_pid_usqm"/>
      <w:bookmarkEnd w:id="228"/>
      <w:r>
        <w:rPr>
          <w:rFonts w:ascii="Times New Roman;Times;Serif" w:hAnsi="Times New Roman;Times;Serif"/>
          <w:b w:val="false"/>
          <w:i w:val="false"/>
          <w:caps w:val="false"/>
          <w:smallCaps w:val="false"/>
          <w:sz w:val="20"/>
        </w:rPr>
        <w:t xml:space="preserve">1,230 square meters (approximately </w:t>
      </w:r>
      <w:bookmarkStart w:id="229" w:name="xdx_90D_eus-gaap--AreaOfLand_iI_pid_usqf"/>
      <w:bookmarkEnd w:id="229"/>
      <w:r>
        <w:rPr>
          <w:rFonts w:ascii="Times New Roman;Times;Serif" w:hAnsi="Times New Roman;Times;Serif"/>
          <w:b w:val="false"/>
          <w:i w:val="false"/>
          <w:caps w:val="false"/>
          <w:smallCaps w:val="false"/>
          <w:sz w:val="20"/>
        </w:rPr>
        <w:t>13,240 square feet).</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lease term is for an initial period of </w:t>
      </w:r>
      <w:bookmarkStart w:id="230" w:name="xdx_908_eus-gaap--LesseeOperatingLeaseTe"/>
      <w:bookmarkEnd w:id="230"/>
      <w:r>
        <w:rPr>
          <w:rFonts w:ascii="Times New Roman;Times;Serif" w:hAnsi="Times New Roman;Times;Serif"/>
          <w:b w:val="false"/>
          <w:i w:val="false"/>
          <w:caps w:val="false"/>
          <w:smallCaps w:val="false"/>
          <w:sz w:val="20"/>
        </w:rPr>
        <w:t xml:space="preserve">five years commencing on October 1, 2026, with an </w:t>
      </w:r>
      <w:bookmarkStart w:id="231" w:name="xdx_906_eus-gaap--LesseeOperatingLeaseOp"/>
      <w:bookmarkEnd w:id="231"/>
      <w:r>
        <w:rPr>
          <w:rFonts w:ascii="Times New Roman;Times;Serif" w:hAnsi="Times New Roman;Times;Serif"/>
          <w:b w:val="false"/>
          <w:i w:val="false"/>
          <w:caps w:val="false"/>
          <w:smallCaps w:val="false"/>
          <w:sz w:val="20"/>
        </w:rPr>
        <w:t xml:space="preserve">option to extend for an additional five-year period. The average monthly base rent is approximately NIS </w:t>
      </w:r>
      <w:bookmarkStart w:id="232" w:name="xdx_90B_eus-gaap--PaymentsForRent_pn3n3_"/>
      <w:bookmarkEnd w:id="232"/>
      <w:r>
        <w:rPr>
          <w:rFonts w:ascii="Times New Roman;Times;Serif" w:hAnsi="Times New Roman;Times;Serif"/>
          <w:b w:val="false"/>
          <w:i w:val="false"/>
          <w:caps w:val="false"/>
          <w:smallCaps w:val="false"/>
          <w:sz w:val="20"/>
        </w:rPr>
        <w:t>97 thousands (approximately $</w:t>
      </w:r>
      <w:bookmarkStart w:id="233" w:name="xdx_90E_eus-gaap--PaymentsForRent_pn3n3_"/>
      <w:bookmarkEnd w:id="233"/>
      <w:r>
        <w:rPr>
          <w:rFonts w:ascii="Times New Roman;Times;Serif" w:hAnsi="Times New Roman;Times;Serif"/>
          <w:b w:val="false"/>
          <w:i w:val="false"/>
          <w:caps w:val="false"/>
          <w:smallCaps w:val="false"/>
          <w:sz w:val="20"/>
        </w:rPr>
        <w:t>30), subject to linkage to the Israeli Consumer Price Index. The agreement also includes customary management fees and related charges.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relocate its corporate headquarters to the new premises upon commencement of the lease term.</w:t>
      </w:r>
    </w:p>
    <w:p>
      <w:pPr>
        <w:pStyle w:val="TextBody"/>
        <w:bidi w:val="0"/>
        <w:spacing w:before="0" w:after="0"/>
        <w:ind w:left="1134" w:right="0" w:hanging="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20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20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At-the-Market Offering</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reporting period, the Company issued </w:t>
      </w:r>
      <w:bookmarkStart w:id="234" w:name="xdx_90C_eus-gaap--StockIssuedDuringPerio"/>
      <w:bookmarkEnd w:id="234"/>
      <w:r>
        <w:rPr>
          <w:rFonts w:ascii="Times New Roman;Times;Serif" w:hAnsi="Times New Roman;Times;Serif"/>
          <w:b w:val="false"/>
          <w:i w:val="false"/>
          <w:caps w:val="false"/>
          <w:smallCaps w:val="false"/>
          <w:sz w:val="20"/>
        </w:rPr>
        <w:t>125,403 ordinary shares under its At-the-Market (“ATM”) offering program, resulting in aggregate gross proceeds of approximately $</w:t>
      </w:r>
      <w:bookmarkStart w:id="235" w:name="xdx_907_eus-gaap--ProceedsFromIssuanceOf"/>
      <w:bookmarkEnd w:id="235"/>
      <w:r>
        <w:rPr>
          <w:rFonts w:ascii="Times New Roman;Times;Serif" w:hAnsi="Times New Roman;Times;Serif"/>
          <w:b w:val="false"/>
          <w:i w:val="false"/>
          <w:caps w:val="false"/>
          <w:smallCaps w:val="false"/>
          <w:sz w:val="20"/>
        </w:rPr>
        <w:t>1,124. As a result of certain issuances under the ATM program, the exercise price and the number of ordinary shares underlying certain outstanding warrants were adjusted in accordance with their terms (see Note 4F below).</w:t>
      </w:r>
    </w:p>
    <w:p>
      <w:pPr>
        <w:pStyle w:val="TextBody"/>
        <w:bidi w:val="0"/>
        <w:spacing w:before="0" w:after="0"/>
        <w:ind w:left="1134" w:right="0" w:hanging="0"/>
        <w:jc w:val="both"/>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20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Share Split</w:t>
            </w:r>
          </w:p>
        </w:tc>
      </w:tr>
    </w:tbl>
    <w:p>
      <w:pPr>
        <w:pStyle w:val="TextBody"/>
        <w:bidi w:val="0"/>
        <w:spacing w:before="0" w:after="0"/>
        <w:ind w:left="1134" w:right="0" w:hanging="567"/>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2026, the Company effected a one-for-thirty (</w:t>
      </w:r>
      <w:bookmarkStart w:id="236" w:name="xdx_90E_eus-gaap--StockholdersEquityReve"/>
      <w:bookmarkEnd w:id="236"/>
      <w:r>
        <w:rPr>
          <w:rFonts w:ascii="Times New Roman;Times;Serif" w:hAnsi="Times New Roman;Times;Serif"/>
          <w:b w:val="false"/>
          <w:i w:val="false"/>
          <w:caps w:val="false"/>
          <w:smallCaps w:val="false"/>
          <w:sz w:val="20"/>
        </w:rPr>
        <w:t>1-for-30) reverse share split of its outstanding ordinary shares. See Note 1B for additional information.</w:t>
      </w:r>
    </w:p>
    <w:p>
      <w:pPr>
        <w:pStyle w:val="TextBody"/>
        <w:bidi w:val="0"/>
        <w:spacing w:before="0" w:after="0"/>
        <w:ind w:left="1134" w:right="0" w:hanging="0"/>
        <w:jc w:val="both"/>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38"/>
        <w:gridCol w:w="20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23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Lion’s Roar Operation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2026, the United States and Israel launched joint combat operations in Iran to which Iran and Hezbollah responded with ballistic missile and drone attacks on Israel as well as other countries and U.S. military bases in the region. Although the United States and Iran have announced ceasefire and de-escalation arrangements from time to time, including a memorandum of understanding entered into on June 17, 2026 that contemplates the termination of military operations on multiple fronts, hostilities have resumed and may continue or escalate. How long and how severe the current conflicts in Gaza, Northern Israel, Lebanon, Iran or the broader region last and become is unknown at this time and any continued clash among Israel, Hamas, Hezbollah, Iran or other countries or militant groups in the region may escalate in the future into a greater regional conflict. During the reporting period, the conflict resulted in temporary restrictions on civilian activity, including limitations on passenger flights, public gatherings and certain business operations.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the Interim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and per share data and exercise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EVENTS IN THE REPORTING PERIOD (Cont.)</w:t>
      </w:r>
    </w:p>
    <w:p>
      <w:pPr>
        <w:pStyle w:val="TextBody"/>
        <w:bidi w:val="0"/>
        <w:spacing w:before="0" w:after="0"/>
        <w:ind w:left="1134" w:right="0" w:hanging="567"/>
        <w:jc w:val="left"/>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20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Lion’s Roar Operation (Cont.)</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issuance of these condensed consolidated financial statements, the Company has not experienced a material adverse effect on its operations or financial condition as a result of these events. However, the regional security situation remains uncertain, and the duration, scope and potential escalation of the conflict, as well as its potential impact on the Company’s operations, customers, suppliers and overall business environment, remain difficult to predict. Accordingly, management continues to monitor developments and assess their potential effect on the Company’s business, financial condition and results of operations.</w:t>
      </w:r>
    </w:p>
    <w:p>
      <w:pPr>
        <w:pStyle w:val="TextBody"/>
        <w:bidi w:val="0"/>
        <w:spacing w:before="0" w:after="0"/>
        <w:ind w:left="1134" w:right="0" w:hanging="0"/>
        <w:jc w:val="both"/>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185"/>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27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2024 Facility Warrant</w:t>
            </w:r>
          </w:p>
        </w:tc>
      </w:tr>
    </w:tbl>
    <w:p>
      <w:pPr>
        <w:pStyle w:val="TextBody"/>
        <w:bidi w:val="0"/>
        <w:spacing w:before="0" w:after="0"/>
        <w:ind w:left="1134" w:right="0" w:hanging="567"/>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the Company issued warrants to purchase ordinary shares “the January 2024 Facility Warrant” to a global investment firm in connection with the credit facility entered into at that time. The credit facility was terminated in March 2024 in accordance with its terms; however, the January 2024 Facility Warrant remains outstanding in accordance with its terms.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an amendment to the January 2024 Facility Warrant became effective following the expiration of the required 61-day waiting period, increasing the beneficial ownership limitation applicable to the exercise of the warrant from 4.99% to 19.99% of the Company’s outstanding ordinary shares immediately after giving effect to such exercise.</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adjustments were made to the exercise price and the number of ordinary shares issuable upon exercise of the January 2024 Facility Warrant pursuant to its anti-dilution provisions, resulting from issuances of ordinary shares under the Company’s ATM) offering program. As of June 30, 2026, and through the date of issuance of these condensed consolidated financial statements, the January 2024 Facility Warrant is exercisable for </w:t>
      </w:r>
      <w:bookmarkStart w:id="237" w:name="xdx_906_eus-gaap--ClassOfWarrantOrRightO"/>
      <w:bookmarkEnd w:id="237"/>
      <w:r>
        <w:rPr>
          <w:rFonts w:ascii="Times New Roman;Times;Serif" w:hAnsi="Times New Roman;Times;Serif"/>
          <w:b w:val="false"/>
          <w:i w:val="false"/>
          <w:caps w:val="false"/>
          <w:smallCaps w:val="false"/>
          <w:sz w:val="20"/>
        </w:rPr>
        <w:t>98,282 ordinary shares at an exercise price of $</w:t>
      </w:r>
      <w:bookmarkStart w:id="238" w:name="xdx_900_eus-gaap--ClassOfWarrantOrRightE"/>
      <w:bookmarkEnd w:id="238"/>
      <w:r>
        <w:rPr>
          <w:rFonts w:ascii="Times New Roman;Times;Serif" w:hAnsi="Times New Roman;Times;Serif"/>
          <w:b w:val="false"/>
          <w:i w:val="false"/>
          <w:caps w:val="false"/>
          <w:smallCaps w:val="false"/>
          <w:sz w:val="20"/>
        </w:rPr>
        <w:t>5.0328 per share.</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9" w:name="xdx_80D_eus-gaap--SubsequentEventsTextBl"/>
      <w:bookmarkEnd w:id="239"/>
      <w:r>
        <w:rPr>
          <w:rFonts w:ascii="Times New Roman;Times;Serif" w:hAnsi="Times New Roman;Times;Serif"/>
          <w:b/>
          <w:i w:val="false"/>
          <w:caps w:val="false"/>
          <w:smallCaps w:val="false"/>
          <w:sz w:val="20"/>
        </w:rPr>
        <w:t xml:space="preserve">NOTE 5 - </w:t>
      </w:r>
      <w:bookmarkStart w:id="240" w:name="xdx_82F_z4vS5zgilova"/>
      <w:bookmarkEnd w:id="240"/>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the Company advanced an additional $</w:t>
            </w:r>
            <w:bookmarkStart w:id="241" w:name="xdx_90D_eus-gaap--ConvertibleDebt_iI_pn3"/>
            <w:bookmarkEnd w:id="241"/>
            <w:r>
              <w:rPr>
                <w:rFonts w:ascii="Times New Roman;Times;Serif" w:hAnsi="Times New Roman;Times;Serif"/>
                <w:b w:val="false"/>
                <w:i w:val="false"/>
                <w:caps w:val="false"/>
                <w:smallCaps w:val="false"/>
                <w:sz w:val="20"/>
              </w:rPr>
              <w:t>100 to Quantum Transportation under the convertible loan agreement described in Note 3. Following such advance, the aggregate principal amount advanced by the Company under the loan agreement amounted to $</w:t>
            </w:r>
            <w:bookmarkStart w:id="242" w:name="xdx_909_eus-gaap--DebtInstrumentFaceAmou"/>
            <w:bookmarkEnd w:id="242"/>
            <w:r>
              <w:rPr>
                <w:rFonts w:ascii="Times New Roman;Times;Serif" w:hAnsi="Times New Roman;Times;Serif"/>
                <w:b w:val="false"/>
                <w:i w:val="false"/>
                <w:caps w:val="false"/>
                <w:smallCaps w:val="false"/>
                <w:sz w:val="20"/>
              </w:rPr>
              <w:t>300.</w:t>
            </w:r>
          </w:p>
        </w:tc>
      </w:tr>
    </w:tbl>
    <w:p>
      <w:pPr>
        <w:pStyle w:val="TextBody"/>
        <w:bidi w:val="0"/>
        <w:spacing w:before="0" w:after="0"/>
        <w:ind w:left="0" w:right="0" w:firstLine="720"/>
        <w:jc w:val="left"/>
        <w:rPr>
          <w:caps w:val="false"/>
          <w:smallCaps w:val="false"/>
        </w:rPr>
      </w:pPr>
      <w:bookmarkStart w:id="243" w:name="xdx_818_z0diNXqtAlOc"/>
      <w:bookmarkEnd w:id="24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caps w:val="false"/>
          <w:smallCaps w:val="false"/>
        </w:rPr>
      </w:pPr>
      <w:bookmarkStart w:id="244" w:name="ex99-3.htm"/>
      <w:bookmarkStart w:id="245" w:name="ksex993"/>
      <w:bookmarkEnd w:id="244"/>
      <w:bookmarkEnd w:id="24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Exhibit 99.3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MANAGEMENT’S DISCUSSION AND ANALYSIS OF</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FINANCIAL CONDITION AND RESULTS OF OPERATIONS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discussion contains “forward-looking statements,” including statements regarding expectations, beliefs, intentions or strategies for the future. These statements may identify important factors which could cause our actual results to differ materially from those indicated by the forward-looking statements. Given these uncertainties, readers are cautioned not to place undue reliance on such forward-looking statements. Factors that could cause our actual results to differ materially from those expressed or implied in such forward-looking statements include, but are not limited to:</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170"/>
        <w:gridCol w:w="8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manufacture, market and sell our products and to generate significant revenues;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intention to advance our technologies and commercialization efforts;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relationships with key partners and grow relationships with new partners;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or protect the validity of our U.S. and other patents and other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launch and penetrate markets in new locations and new market segments;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executive members and hire additional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expand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interpretations of current laws and the passages of future laws;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greater regulatory compliance needed in existing and new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demand for passenger and freight transport;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key performance milestones in our planned operational testing;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adequate sales, marketing, production and distribution channels;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our business model by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ordinary shares on Nasdaq;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tariffs, trade barriers, price and exchange controls and other regulatory requirements and the impact of such policies on us, our customers and suppliers, and the global economic environment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we conduct business in multiple foreign jurisdictions, exposing us to foreign currency exchange rate fluctuations, logistical and communications challenges, burdens and costs of compliance with foreign laws and political and economic instability in each jurisdiction;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federal, state and local government regulation, in the United States, Europe or Israel and other foreign jurisdictions;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political and economic instability in the Middle East that could harm our business, including due to the current security situation in Israel;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including those listed in the section titled “Risk Factors” in our Annual Report on Form 20-F for the year ended December 31, 2025, filed with the Securities and Exchange Commission, or the SEC, on March 31, 2026, or the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preceding list is not intended to be an exhaustive list of any forward-looking statements and are based on our beliefs, assumptions and expectations of future performance, taking into account the information available to us. These statements are only predictions based upon our current expectations and projections about future events. There are important factors that could cause our actual results to differ materially from the results expressed or implied by the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forward-looking statements contained herein are based upon information available to our management as of the date hereof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 forward-looking statements contained herein are expressly qualified in their entirety by this cautionary statement. Except as required by law, we undertake no obligation to update publicly any forward-looking statements after the date hereof to conform these statements to actual results or to changes in our expectations.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Non-GAAP Financial Measures and Key Business Metrics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our results of operations in a way that we believe will be the most meaningful and useful to investors, analysts, rating agencies and others who use our financial information to evaluate our performance. Some of our financial measures are not prepared in accordance with generally accepted accounting principles, or non-GAAP, under SEC rules and regulations. For example, in this Report, we present Non-GAAP Net Loss, which is non-GAAP financial measure as defined in Item 10(e) of SEC Regulation S-K. Non-GAAP Net Loss is presented for supplemental informational purposes only, and is not intended to be a substitute for any GAAP financial measures, including net loss, and, as calculated, may not be comparable to companies in other industries or within the same industry with similarly titled measures of performance. In addition, this non-GAAP measure should not be construed as an inference that our future results will be unaffected by unusual or non-recurring items. Therefore, this non-GAAP financial measure should be considered in addition to, not as a substitute for, or in isolation from, measures prepared in accordance with U.S. GAAP. Where appropriate, reconciliations of our non-GAAP financial measure to the most comparable U.S. GAAP figures are included. For further discussion, see “</w:t>
      </w:r>
      <w:r>
        <w:rPr>
          <w:rFonts w:ascii="Times New Roman;Times;Serif" w:hAnsi="Times New Roman;Times;Serif"/>
          <w:b w:val="false"/>
          <w:i/>
          <w:caps w:val="false"/>
          <w:smallCaps w:val="false"/>
          <w:sz w:val="20"/>
        </w:rPr>
        <w:t>Operating Results — Key Business Metrics and Non-GAAP Financial Measures.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Operating Results.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The following discussion and analysis of our financial condition and results of operations should be read in conjunction with our financial statements and the related notes included in our Annual Report, as well as our unaudited condensed financial statements and the related notes thereto for the six months ended June 30, 2026, included elsewhere in this Report on Form 6-K. The discussion below contains forward-looking statements that are based upon our current expectations and are subject to uncertainty and changes in circumstances. Actual results may differ materially from these expectations due to inaccurate assumptions and known or unknown risks and uncertainties.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The following financial data in this narrative are expressed in thousands of U.S. dollars, except for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AI-powered railway technology company in the early commercialization stage, focused on transforming the railway safety and data markets. We believe we have developed cutting edge, industry-leading AI-based detection systems specifically designed for rail applications. Our systems are designed to enhance railway safety, support prevention of accidents, save lives, improve operational efficiency, and significantly reduce costs for the railway operators through real-time detection and actionable data insights.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founding in April 2016, we have developed proprietary railway detection systems designed to enhance railway safety and operational efficiency. These systems are based on advanced image processing and deep learning technologies and provide early warnings to train drivers of obstacles on and around the railway track, including in severe weather and challenging lighting conditions. Our system uses high-resolution cameras capable of identifying objects at distances of up to 2,000 meters, together with an onboard computer unit that uses AI and machine learning algorithms to analyze images, identify objects on or near the tracks, and alert train drivers of potential risks.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railway detection systems use electro-optics technology, including visible-light spectrum cameras and thermal cameras, which transmit data to a ruggedized on-board computing unit designed to operate in harsh environmental conditions of locomotives. Our railway detection and classification system includes image-processing and machine-learning algorithms that process the data in real time to identify potential hazards on and around the track. These algorithms are designed to detect and classify objects, such as people, animals, vehicles, signs, signals along the track, and anomalies (unclassified objects). These data collection and classification capabilities can be applied to additional use cases, including big data analytics.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Business Developments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completed the acquisition of a 51% controlling interest in Quantum Transportation, a cutting-edge quantum computing and AI company specializing in machine-learning-based error correction technologies, expanding our long-term technology capabilities in quantum-computing-based error-correction algorithms and potential future railway AI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Operating Expenses</w:t>
      </w:r>
    </w:p>
    <w:p>
      <w:pPr>
        <w:pStyle w:val="TextBody"/>
        <w:bidi w:val="0"/>
        <w:spacing w:before="0" w:after="0"/>
        <w:ind w:left="0" w:right="0" w:firstLine="30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operating expenses consist of two components - research and development expenses, and general and administrative expenses. To date, we have not generated significant revenues.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Research and Development Expenses</w:t>
      </w:r>
    </w:p>
    <w:p>
      <w:pPr>
        <w:pStyle w:val="TextBody"/>
        <w:bidi w:val="0"/>
        <w:spacing w:before="0" w:after="0"/>
        <w:ind w:left="0" w:right="0" w:firstLine="30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consist primarily of salaries and related personnel expenses (including share-based payment), subcontractor’s expenses and other related research and development expenses.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table discloses the breakdown of research and development expenses: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690" w:type="dxa"/>
        <w:jc w:val="left"/>
        <w:tblInd w:w="0" w:type="dxa"/>
        <w:tblLayout w:type="fixed"/>
        <w:tblCellMar>
          <w:top w:w="0" w:type="dxa"/>
          <w:left w:w="0" w:type="dxa"/>
          <w:bottom w:w="0" w:type="dxa"/>
          <w:right w:w="0" w:type="dxa"/>
        </w:tblCellMar>
      </w:tblPr>
      <w:tblGrid>
        <w:gridCol w:w="2825"/>
        <w:gridCol w:w="60"/>
        <w:gridCol w:w="251"/>
        <w:gridCol w:w="1007"/>
        <w:gridCol w:w="107"/>
        <w:gridCol w:w="107"/>
        <w:gridCol w:w="251"/>
        <w:gridCol w:w="1007"/>
        <w:gridCol w:w="75"/>
      </w:tblGrid>
      <w:tr>
        <w:trPr/>
        <w:tc>
          <w:tcPr>
            <w:tcW w:w="28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825" w:type="dxa"/>
            <w:tcBorders>
              <w:bottom w:val="single" w:sz="8" w:space="0" w:color="000000"/>
            </w:tcBorders>
            <w:tcMar>
              <w:bottom w:w="28" w:type="dxa"/>
            </w:tcMar>
            <w:vAlign w:val="center"/>
          </w:tcPr>
          <w:p>
            <w:pPr>
              <w:pStyle w:val="TableContents"/>
              <w:bidi w:val="0"/>
              <w:spacing w:before="0" w:after="283"/>
              <w:jc w:val="both"/>
              <w:rPr/>
            </w:pPr>
            <w:r>
              <w:rPr/>
              <w:t>(in thousands of USD)</w:t>
            </w:r>
          </w:p>
        </w:tc>
        <w:tc>
          <w:tcPr>
            <w:tcW w:w="60" w:type="dxa"/>
            <w:tcBorders/>
            <w:vAlign w:val="center"/>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both"/>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both"/>
              <w:rPr/>
            </w:pPr>
            <w:r>
              <w:rPr/>
              <w:t>Payroll and related expenses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3,187</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2,543</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both"/>
              <w:rPr/>
            </w:pPr>
            <w:r>
              <w:rPr/>
              <w:t>Share-based payment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248</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220</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both"/>
              <w:rPr/>
            </w:pPr>
            <w:r>
              <w:rPr/>
              <w:t>Depreciation</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63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56</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both"/>
              <w:rPr/>
            </w:pPr>
            <w:r>
              <w:rPr/>
              <w:t>Equipment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214</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187</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both"/>
              <w:rPr/>
            </w:pPr>
            <w:r>
              <w:rPr/>
              <w:t>Rent and office maintenance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262</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221</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both"/>
              <w:rPr/>
            </w:pPr>
            <w:r>
              <w:rPr/>
              <w:t>Write-off of acquired IPR&amp;D</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1,028</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pPr>
            <w:r>
              <w:rPr/>
              <w:t>194</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pPr>
            <w:r>
              <w:rPr/>
              <w:t>14</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pPr>
            <w:r>
              <w:rPr/>
              <w:t>5,196</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pPr>
            <w:r>
              <w:rPr/>
              <w:t>3,241</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General and Administrative Expenses</w:t>
      </w:r>
    </w:p>
    <w:p>
      <w:pPr>
        <w:pStyle w:val="TextBody"/>
        <w:bidi w:val="0"/>
        <w:spacing w:before="0" w:after="0"/>
        <w:ind w:left="0" w:right="0" w:firstLine="30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and related expenses, share-based payment, professional service fees for accounting, legal and bookkeeping, facilities, travel expenses and other general and administrative expenses.</w:t>
      </w:r>
    </w:p>
    <w:p>
      <w:pPr>
        <w:pStyle w:val="TextBody"/>
        <w:bidi w:val="0"/>
        <w:spacing w:before="0" w:after="0"/>
        <w:ind w:left="0" w:right="0" w:firstLine="30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table discloses the breakdown of general and administrative expenses: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2735"/>
        <w:gridCol w:w="60"/>
        <w:gridCol w:w="251"/>
        <w:gridCol w:w="1007"/>
        <w:gridCol w:w="107"/>
        <w:gridCol w:w="107"/>
        <w:gridCol w:w="251"/>
        <w:gridCol w:w="1007"/>
        <w:gridCol w:w="75"/>
      </w:tblGrid>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735" w:type="dxa"/>
            <w:tcBorders>
              <w:bottom w:val="single" w:sz="8" w:space="0" w:color="000000"/>
            </w:tcBorders>
            <w:tcMar>
              <w:bottom w:w="28" w:type="dxa"/>
            </w:tcMar>
            <w:vAlign w:val="center"/>
          </w:tcPr>
          <w:p>
            <w:pPr>
              <w:pStyle w:val="TableContents"/>
              <w:bidi w:val="0"/>
              <w:spacing w:before="0" w:after="283"/>
              <w:jc w:val="both"/>
              <w:rPr/>
            </w:pPr>
            <w:r>
              <w:rPr/>
              <w:t>(in thousands of USD)</w:t>
            </w:r>
          </w:p>
        </w:tc>
        <w:tc>
          <w:tcPr>
            <w:tcW w:w="60" w:type="dxa"/>
            <w:tcBorders/>
            <w:vAlign w:val="center"/>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both"/>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Payroll and related expenses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1,391</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1,168</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both"/>
              <w:rPr/>
            </w:pPr>
            <w:r>
              <w:rPr/>
              <w:t>Share-based payment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307</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210</w:t>
            </w:r>
          </w:p>
        </w:tc>
        <w:tc>
          <w:tcPr>
            <w:tcW w:w="7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944</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826</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both"/>
              <w:rPr/>
            </w:pPr>
            <w:r>
              <w:rPr/>
              <w:t>Travel expenses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32</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73</w:t>
            </w:r>
          </w:p>
        </w:tc>
        <w:tc>
          <w:tcPr>
            <w:tcW w:w="7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Rent and office maintenance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94</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74</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both"/>
              <w:rPr/>
            </w:pPr>
            <w:r>
              <w:rPr/>
              <w:t>Marketing and other</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pPr>
            <w:r>
              <w:rPr/>
              <w:t>382</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pPr>
            <w:r>
              <w:rPr/>
              <w:t>161</w:t>
            </w:r>
          </w:p>
        </w:tc>
        <w:tc>
          <w:tcPr>
            <w:tcW w:w="7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pPr>
            <w:r>
              <w:rPr/>
              <w:t>3,150</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pPr>
            <w:r>
              <w:rPr/>
              <w:t>2,512</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Comparison of the Six Months Ended June 30, 2026, to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Results of Operations</w:t>
      </w:r>
    </w:p>
    <w:p>
      <w:pPr>
        <w:pStyle w:val="TextBody"/>
        <w:bidi w:val="0"/>
        <w:spacing w:before="0" w:after="0"/>
        <w:ind w:left="0" w:right="0" w:hanging="0"/>
        <w:jc w:val="both"/>
        <w:rPr>
          <w:caps w:val="false"/>
          <w:smallCaps w:val="false"/>
        </w:rPr>
      </w:pPr>
      <w:r>
        <w:rPr>
          <w:caps w:val="false"/>
          <w:smallCaps w:val="false"/>
        </w:rPr>
        <w:t> </w:t>
      </w:r>
    </w:p>
    <w:tbl>
      <w:tblPr>
        <w:tblW w:w="8097" w:type="dxa"/>
        <w:jc w:val="left"/>
        <w:tblInd w:w="0" w:type="dxa"/>
        <w:tblLayout w:type="fixed"/>
        <w:tblCellMar>
          <w:top w:w="0" w:type="dxa"/>
          <w:left w:w="0" w:type="dxa"/>
          <w:bottom w:w="0" w:type="dxa"/>
          <w:right w:w="0" w:type="dxa"/>
        </w:tblCellMar>
      </w:tblPr>
      <w:tblGrid>
        <w:gridCol w:w="5195"/>
        <w:gridCol w:w="60"/>
        <w:gridCol w:w="224"/>
        <w:gridCol w:w="1018"/>
        <w:gridCol w:w="152"/>
        <w:gridCol w:w="96"/>
        <w:gridCol w:w="224"/>
        <w:gridCol w:w="1018"/>
        <w:gridCol w:w="110"/>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5195" w:type="dxa"/>
            <w:tcBorders>
              <w:bottom w:val="single" w:sz="8" w:space="0" w:color="000000"/>
            </w:tcBorders>
            <w:tcMar>
              <w:bottom w:w="28" w:type="dxa"/>
            </w:tcMar>
            <w:vAlign w:val="center"/>
          </w:tcPr>
          <w:p>
            <w:pPr>
              <w:pStyle w:val="TableContents"/>
              <w:bidi w:val="0"/>
              <w:spacing w:before="0" w:after="283"/>
              <w:jc w:val="both"/>
              <w:rPr/>
            </w:pPr>
            <w:r>
              <w:rPr/>
              <w:t>(in thousands of USD)</w:t>
            </w:r>
          </w:p>
        </w:tc>
        <w:tc>
          <w:tcPr>
            <w:tcW w:w="60"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vAlign w:val="center"/>
          </w:tcPr>
          <w:p>
            <w:pPr>
              <w:pStyle w:val="TableContents"/>
              <w:bidi w:val="0"/>
              <w:spacing w:before="0" w:after="283"/>
              <w:jc w:val="center"/>
              <w:rPr/>
            </w:pPr>
            <w:r>
              <w:rPr/>
              <w:t> </w:t>
            </w:r>
          </w:p>
        </w:tc>
        <w:tc>
          <w:tcPr>
            <w:tcW w:w="15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42"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Revenues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1,015</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237</w:t>
            </w:r>
          </w:p>
        </w:tc>
        <w:tc>
          <w:tcPr>
            <w:tcW w:w="11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pPr>
            <w:r>
              <w:rPr/>
              <w:t>Cost of sales</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(698</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both"/>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317</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48</w:t>
            </w:r>
          </w:p>
        </w:tc>
        <w:tc>
          <w:tcPr>
            <w:tcW w:w="11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(5,196</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(3,241</w:t>
            </w:r>
          </w:p>
        </w:tc>
        <w:tc>
          <w:tcPr>
            <w:tcW w:w="110"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both"/>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(3,150</w:t>
            </w:r>
          </w:p>
        </w:tc>
        <w:tc>
          <w:tcPr>
            <w:tcW w:w="152"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(2,512</w:t>
            </w:r>
          </w:p>
        </w:tc>
        <w:tc>
          <w:tcPr>
            <w:tcW w:w="11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(8,029</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(5,705</w:t>
            </w:r>
          </w:p>
        </w:tc>
        <w:tc>
          <w:tcPr>
            <w:tcW w:w="110"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b/>
              </w:rPr>
            </w:pPr>
            <w:r>
              <w:rPr>
                <w:b/>
              </w:rPr>
              <w:t>Financial (expenses) income:</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Revaluation of derivatives, warrant liabilities and other</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(380</w:t>
            </w:r>
          </w:p>
        </w:tc>
        <w:tc>
          <w:tcPr>
            <w:tcW w:w="11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pPr>
            <w:r>
              <w:rPr/>
              <w:t>Other financing income, net</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719</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406</w:t>
            </w:r>
          </w:p>
        </w:tc>
        <w:tc>
          <w:tcPr>
            <w:tcW w:w="110"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b/>
              </w:rPr>
            </w:pPr>
            <w:r>
              <w:rPr>
                <w:b/>
              </w:rPr>
              <w:t>Total Loss</w:t>
            </w:r>
          </w:p>
        </w:tc>
        <w:tc>
          <w:tcPr>
            <w:tcW w:w="60"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double" w:sz="6" w:space="0" w:color="000000"/>
            </w:tcBorders>
            <w:shd w:fill="FFFFFF" w:val="clear"/>
            <w:tcMar>
              <w:bottom w:w="28" w:type="dxa"/>
            </w:tcMar>
            <w:vAlign w:val="center"/>
          </w:tcPr>
          <w:p>
            <w:pPr>
              <w:pStyle w:val="TableContents"/>
              <w:bidi w:val="0"/>
              <w:spacing w:before="0" w:after="283"/>
              <w:jc w:val="right"/>
              <w:rPr/>
            </w:pPr>
            <w:r>
              <w:rPr/>
              <w:t>7,310</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double" w:sz="6" w:space="0" w:color="000000"/>
            </w:tcBorders>
            <w:shd w:fill="FFFFFF" w:val="clear"/>
            <w:tcMar>
              <w:bottom w:w="28" w:type="dxa"/>
            </w:tcMar>
            <w:vAlign w:val="center"/>
          </w:tcPr>
          <w:p>
            <w:pPr>
              <w:pStyle w:val="TableContents"/>
              <w:bidi w:val="0"/>
              <w:spacing w:before="0" w:after="283"/>
              <w:jc w:val="right"/>
              <w:rPr/>
            </w:pPr>
            <w:r>
              <w:rPr/>
              <w:t>5,679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Revenues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recognized revenues of $1,015,000, representing an increase of $778,000 or 328%, compared to $237,000 for the six months ended June 30, 2025. Revenues for the first half of 2026 were mainly derived from ShuntingYard Systems delivery for Railserve and from services provided to existing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Research and Development Expenses</w:t>
      </w:r>
    </w:p>
    <w:p>
      <w:pPr>
        <w:pStyle w:val="TextBody"/>
        <w:bidi w:val="0"/>
        <w:spacing w:before="0" w:after="0"/>
        <w:ind w:left="0" w:right="0" w:firstLine="30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for the six months ended June 30, 2026, amounted to $5,196,000, an increase of $1,955,000 or 60%, compared to $3,241,000 for the six months ended June 30, 2025. The increase was primarily attributable to a non-cash expense of approximately $1,028,000 related to the write-off of acquired in-process research and development (IPR&amp;D) in connection with the Quantum Transportation acquisition. The increase was also attributable to higher salary expenses, primarily reflecting the depreciation of the U.S. dollar against the Israeli shekel (NIS), since a significant portion of our workforce is compensated in NIS, as well as the consolidation of Quantum Transportation’s R&amp;D expenses.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General and administrative expenses</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Our general and administrative expenses for the six months ended June 30, 2026, were $</w:t>
      </w:r>
      <w:r>
        <w:rPr>
          <w:rFonts w:ascii="Times New Roman;Times;Serif" w:hAnsi="Times New Roman;Times;Serif"/>
          <w:b w:val="false"/>
          <w:i w:val="false"/>
          <w:caps w:val="false"/>
          <w:smallCaps w:val="false"/>
          <w:sz w:val="20"/>
        </w:rPr>
        <w:t>3,150</w:t>
      </w:r>
      <w:r>
        <w:rPr>
          <w:rFonts w:ascii="Times New Roman;Times;Serif" w:hAnsi="Times New Roman;Times;Serif"/>
          <w:b w:val="false"/>
          <w:i w:val="false"/>
          <w:caps w:val="false"/>
          <w:smallCaps w:val="false"/>
          <w:sz w:val="20"/>
          <w:shd w:fill="FFFFFF" w:val="clear"/>
        </w:rPr>
        <w:t>,000, an increase of $</w:t>
      </w:r>
      <w:r>
        <w:rPr>
          <w:rFonts w:ascii="Times New Roman;Times;Serif" w:hAnsi="Times New Roman;Times;Serif"/>
          <w:b w:val="false"/>
          <w:i w:val="false"/>
          <w:caps w:val="false"/>
          <w:smallCaps w:val="false"/>
          <w:sz w:val="20"/>
        </w:rPr>
        <w:t>638</w:t>
      </w:r>
      <w:r>
        <w:rPr>
          <w:rFonts w:ascii="Times New Roman;Times;Serif" w:hAnsi="Times New Roman;Times;Serif"/>
          <w:b w:val="false"/>
          <w:i w:val="false"/>
          <w:caps w:val="false"/>
          <w:smallCaps w:val="false"/>
          <w:sz w:val="20"/>
          <w:shd w:fill="FFFFFF" w:val="clear"/>
        </w:rPr>
        <w:t xml:space="preserve">,000 or </w:t>
      </w:r>
      <w:r>
        <w:rPr>
          <w:rFonts w:ascii="Times New Roman;Times;Serif" w:hAnsi="Times New Roman;Times;Serif"/>
          <w:b w:val="false"/>
          <w:i w:val="false"/>
          <w:caps w:val="false"/>
          <w:smallCaps w:val="false"/>
          <w:sz w:val="20"/>
        </w:rPr>
        <w:t>25</w:t>
      </w:r>
      <w:r>
        <w:rPr>
          <w:rFonts w:ascii="Times New Roman;Times;Serif" w:hAnsi="Times New Roman;Times;Serif"/>
          <w:b w:val="false"/>
          <w:i w:val="false"/>
          <w:caps w:val="false"/>
          <w:smallCaps w:val="false"/>
          <w:sz w:val="20"/>
          <w:shd w:fill="FFFFFF" w:val="clear"/>
        </w:rPr>
        <w:t xml:space="preserve">%, compared to $2,512,000 for the six months ended June 30, 2025. The increase was primarily due to the depreciation of the U.S. dollar against the NIS, as a significant portion of our expenses is denominated in NIS, higher share-based payment expenses due to new RSU grants to employees, increased sales and marketing expenses and the consolidation of Quantum Transportation general and administrative expenses.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Operating loss</w:t>
      </w:r>
    </w:p>
    <w:p>
      <w:pPr>
        <w:pStyle w:val="TextBody"/>
        <w:bidi w:val="0"/>
        <w:spacing w:before="0" w:after="0"/>
        <w:ind w:left="0" w:right="0" w:firstLine="30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As a result of the foregoing, our operating loss for the six months ended June 30, 2026, was $</w:t>
      </w:r>
      <w:r>
        <w:rPr>
          <w:rFonts w:ascii="Times New Roman;Times;Serif" w:hAnsi="Times New Roman;Times;Serif"/>
          <w:b w:val="false"/>
          <w:i w:val="false"/>
          <w:caps w:val="false"/>
          <w:smallCaps w:val="false"/>
          <w:sz w:val="20"/>
        </w:rPr>
        <w:t xml:space="preserve">8,029,000 </w:t>
      </w:r>
      <w:r>
        <w:rPr>
          <w:rFonts w:ascii="Times New Roman;Times;Serif" w:hAnsi="Times New Roman;Times;Serif"/>
          <w:b w:val="false"/>
          <w:i w:val="false"/>
          <w:caps w:val="false"/>
          <w:smallCaps w:val="false"/>
          <w:sz w:val="20"/>
          <w:shd w:fill="FFFFFF" w:val="clear"/>
        </w:rPr>
        <w:t>compared to an operating loss of $5,705,000 for the six months ended June 30, 2025, an increase of $</w:t>
      </w:r>
      <w:r>
        <w:rPr>
          <w:rFonts w:ascii="Times New Roman;Times;Serif" w:hAnsi="Times New Roman;Times;Serif"/>
          <w:b w:val="false"/>
          <w:i w:val="false"/>
          <w:caps w:val="false"/>
          <w:smallCaps w:val="false"/>
          <w:sz w:val="20"/>
        </w:rPr>
        <w:t>2,324</w:t>
      </w:r>
      <w:r>
        <w:rPr>
          <w:rFonts w:ascii="Times New Roman;Times;Serif" w:hAnsi="Times New Roman;Times;Serif"/>
          <w:b w:val="false"/>
          <w:i w:val="false"/>
          <w:caps w:val="false"/>
          <w:smallCaps w:val="false"/>
          <w:sz w:val="20"/>
          <w:shd w:fill="FFFFFF" w:val="clear"/>
        </w:rPr>
        <w:t xml:space="preserve">,000 or </w:t>
      </w:r>
      <w:r>
        <w:rPr>
          <w:rFonts w:ascii="Times New Roman;Times;Serif" w:hAnsi="Times New Roman;Times;Serif"/>
          <w:b w:val="false"/>
          <w:i w:val="false"/>
          <w:caps w:val="false"/>
          <w:smallCaps w:val="false"/>
          <w:sz w:val="20"/>
        </w:rPr>
        <w:t>41</w:t>
      </w:r>
      <w:r>
        <w:rPr>
          <w:rFonts w:ascii="Times New Roman;Times;Serif" w:hAnsi="Times New Roman;Times;Serif"/>
          <w:b w:val="false"/>
          <w:i w:val="false"/>
          <w:caps w:val="false"/>
          <w:smallCaps w:val="false"/>
          <w:sz w:val="20"/>
          <w:shd w:fill="FFFFFF" w:val="clear"/>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expenses and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Revaluation of derivatives, warrant liabilities and other</w:t>
      </w:r>
    </w:p>
    <w:p>
      <w:pPr>
        <w:pStyle w:val="TextBody"/>
        <w:shd w:fill="FFFFFF" w:val="clear"/>
        <w:bidi w:val="0"/>
        <w:spacing w:before="0" w:after="0"/>
        <w:ind w:left="720" w:right="0" w:firstLine="720"/>
        <w:jc w:val="both"/>
        <w:rPr>
          <w:caps w:val="false"/>
          <w:smallCaps w:val="false"/>
        </w:rPr>
      </w:pPr>
      <w:r>
        <w:rPr>
          <w:caps w:val="false"/>
          <w:smallCaps w:val="false"/>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For the six months ended June 30, 2026, we recorded no expenses </w:t>
      </w:r>
      <w:r>
        <w:rPr>
          <w:rFonts w:ascii="Times New Roman;Times;Serif" w:hAnsi="Times New Roman;Times;Serif"/>
          <w:b w:val="false"/>
          <w:i w:val="false"/>
          <w:caps w:val="false"/>
          <w:smallCaps w:val="false"/>
          <w:sz w:val="20"/>
        </w:rPr>
        <w:t xml:space="preserve">due to the revaluation of derivatives, warrant liabilities and other </w:t>
      </w:r>
      <w:r>
        <w:rPr>
          <w:rFonts w:ascii="Times New Roman;Times;Serif" w:hAnsi="Times New Roman;Times;Serif"/>
          <w:b w:val="false"/>
          <w:i w:val="false"/>
          <w:caps w:val="false"/>
          <w:smallCaps w:val="false"/>
          <w:sz w:val="20"/>
          <w:shd w:fill="FFFFFF" w:val="clear"/>
        </w:rPr>
        <w:t xml:space="preserve">. This compares to expenses of $380,000 for the six months ended June 30, 2025, which was due to the </w:t>
      </w:r>
      <w:r>
        <w:rPr>
          <w:rFonts w:ascii="Times New Roman;Times;Serif" w:hAnsi="Times New Roman;Times;Serif"/>
          <w:b w:val="false"/>
          <w:i w:val="false"/>
          <w:caps w:val="false"/>
          <w:smallCaps w:val="false"/>
          <w:sz w:val="20"/>
        </w:rPr>
        <w:t xml:space="preserve">revaluation of derivatives, warrant liabilities and other </w:t>
      </w:r>
      <w:r>
        <w:rPr>
          <w:rFonts w:ascii="Times New Roman;Times;Serif" w:hAnsi="Times New Roman;Times;Serif"/>
          <w:b w:val="false"/>
          <w:i w:val="false"/>
          <w:caps w:val="false"/>
          <w:smallCaps w:val="false"/>
          <w:sz w:val="20"/>
          <w:shd w:fill="FFFFFF" w:val="clear"/>
        </w:rPr>
        <w:t xml:space="preserve">in connection with shares issued under the SEPA </w:t>
      </w:r>
      <w:r>
        <w:rPr>
          <w:rFonts w:ascii="Times New Roman;Times;Serif" w:hAnsi="Times New Roman;Times;Serif"/>
          <w:b w:val="false"/>
          <w:i w:val="false"/>
          <w:caps w:val="false"/>
          <w:smallCaps w:val="false"/>
          <w:sz w:val="20"/>
        </w:rPr>
        <w:t>(as defined below)</w:t>
      </w:r>
      <w:r>
        <w:rPr>
          <w:rFonts w:ascii="Times New Roman;Times;Serif" w:hAnsi="Times New Roman;Times;Serif"/>
          <w:b w:val="false"/>
          <w:i w:val="false"/>
          <w:caps w:val="false"/>
          <w:smallCaps w:val="false"/>
          <w:sz w:val="20"/>
          <w:shd w:fill="FFFFFF" w:val="clear"/>
        </w:rPr>
        <w:t xml:space="preserv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Other financial income, net</w:t>
      </w:r>
    </w:p>
    <w:p>
      <w:pPr>
        <w:pStyle w:val="TextBody"/>
        <w:bidi w:val="0"/>
        <w:spacing w:before="0" w:after="0"/>
        <w:ind w:left="720" w:right="0" w:firstLine="300"/>
        <w:jc w:val="both"/>
        <w:rPr>
          <w:caps w:val="false"/>
          <w:smallCaps w:val="false"/>
        </w:rPr>
      </w:pPr>
      <w:r>
        <w:rPr>
          <w:caps w:val="false"/>
          <w:smallCaps w:val="false"/>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For the six months ended June 30, 2026, our other financial income amounted to $719,000 </w:t>
      </w:r>
      <w:r>
        <w:rPr>
          <w:rFonts w:ascii="Times New Roman;Times;Serif" w:hAnsi="Times New Roman;Times;Serif"/>
          <w:b w:val="false"/>
          <w:i w:val="false"/>
          <w:caps w:val="false"/>
          <w:smallCaps w:val="false"/>
          <w:sz w:val="20"/>
        </w:rPr>
        <w:t>attributable to interest income earned on short-term deposits</w:t>
      </w:r>
      <w:r>
        <w:rPr>
          <w:rFonts w:ascii="Times New Roman;Times;Serif" w:hAnsi="Times New Roman;Times;Serif"/>
          <w:b w:val="false"/>
          <w:i w:val="false"/>
          <w:caps w:val="false"/>
          <w:smallCaps w:val="false"/>
          <w:sz w:val="20"/>
          <w:shd w:fill="FFFFFF" w:val="clear"/>
        </w:rPr>
        <w:t>. This compares to $406,000 in financial income for the six months ended June 30, 2025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Net Loss</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As a result of the foregoing, our total net loss for the six months ended June 30, 2026, was $7,310,000 compared to $5,679,000 for the six months ended June 30, 2025, an increase of $</w:t>
      </w:r>
      <w:r>
        <w:rPr>
          <w:rFonts w:ascii="Times New Roman;Times;Serif" w:hAnsi="Times New Roman;Times;Serif"/>
          <w:b w:val="false"/>
          <w:i w:val="false"/>
          <w:caps w:val="false"/>
          <w:smallCaps w:val="false"/>
          <w:sz w:val="20"/>
        </w:rPr>
        <w:t>1,631</w:t>
      </w:r>
      <w:r>
        <w:rPr>
          <w:rFonts w:ascii="Times New Roman;Times;Serif" w:hAnsi="Times New Roman;Times;Serif"/>
          <w:b w:val="false"/>
          <w:i w:val="false"/>
          <w:caps w:val="false"/>
          <w:smallCaps w:val="false"/>
          <w:sz w:val="20"/>
          <w:shd w:fill="FFFFFF" w:val="clear"/>
        </w:rPr>
        <w:t xml:space="preserve">,000 or </w:t>
      </w:r>
      <w:r>
        <w:rPr>
          <w:rFonts w:ascii="Times New Roman;Times;Serif" w:hAnsi="Times New Roman;Times;Serif"/>
          <w:b w:val="false"/>
          <w:i w:val="false"/>
          <w:caps w:val="false"/>
          <w:smallCaps w:val="false"/>
          <w:sz w:val="20"/>
        </w:rPr>
        <w:t>29</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Business Metrics and Non-GAAP Financial Measures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We monitor the key business metrics set forth below to help us evaluate growth trends, establish budgets, measure the effectiveness of our sales and marketing efforts, and assess operational efficiencies. Our key business metric is Non-GAAP Net Loss. Increases or decreases in our key performance metrics may not correspond with increases or decreases in our revenue</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Non-GAAP Net Loss</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Non-GAAP net loss is a non-GAAP financial metric that we defined as GAAP net loss excluding stock-based compensation expenses and revaluation of derivative warrant liability expenses. Our non-GAAP net loss for the six months ended June 30, 2026, was $6,754,000 compared to $4,870,000 for the six months ended June 30, 2025, </w:t>
      </w:r>
      <w:r>
        <w:rPr>
          <w:rFonts w:ascii="Times New Roman;Times;Serif" w:hAnsi="Times New Roman;Times;Serif"/>
          <w:b w:val="false"/>
          <w:i w:val="false"/>
          <w:caps w:val="false"/>
          <w:smallCaps w:val="false"/>
          <w:sz w:val="20"/>
          <w:shd w:fill="FFFFFF" w:val="clear"/>
        </w:rPr>
        <w:t>an increase of $</w:t>
      </w:r>
      <w:r>
        <w:rPr>
          <w:rFonts w:ascii="Times New Roman;Times;Serif" w:hAnsi="Times New Roman;Times;Serif"/>
          <w:b w:val="false"/>
          <w:i w:val="false"/>
          <w:caps w:val="false"/>
          <w:smallCaps w:val="false"/>
          <w:sz w:val="20"/>
        </w:rPr>
        <w:t xml:space="preserve">1,886,000 </w:t>
      </w:r>
      <w:r>
        <w:rPr>
          <w:rFonts w:ascii="Times New Roman;Times;Serif" w:hAnsi="Times New Roman;Times;Serif"/>
          <w:b w:val="false"/>
          <w:i w:val="false"/>
          <w:caps w:val="false"/>
          <w:smallCaps w:val="false"/>
          <w:sz w:val="20"/>
          <w:shd w:fill="FFFFFF" w:val="clear"/>
        </w:rPr>
        <w:t xml:space="preserve">or </w:t>
      </w:r>
      <w:r>
        <w:rPr>
          <w:rFonts w:ascii="Times New Roman;Times;Serif" w:hAnsi="Times New Roman;Times;Serif"/>
          <w:b w:val="false"/>
          <w:i w:val="false"/>
          <w:caps w:val="false"/>
          <w:smallCaps w:val="false"/>
          <w:sz w:val="20"/>
        </w:rPr>
        <w:t>39%.</w:t>
      </w:r>
    </w:p>
    <w:p>
      <w:pPr>
        <w:pStyle w:val="TextBody"/>
        <w:bidi w:val="0"/>
        <w:spacing w:before="0" w:after="0"/>
        <w:ind w:left="0" w:right="0" w:firstLine="720"/>
        <w:jc w:val="both"/>
        <w:rPr>
          <w:caps w:val="false"/>
          <w:smallCaps w:val="false"/>
        </w:rPr>
      </w:pPr>
      <w:r>
        <w:rPr>
          <w:caps w:val="false"/>
          <w:smallCaps w:val="false"/>
        </w:rPr>
        <w:t> </w:t>
      </w:r>
    </w:p>
    <w:tbl>
      <w:tblPr>
        <w:tblW w:w="6953" w:type="dxa"/>
        <w:jc w:val="left"/>
        <w:tblInd w:w="0" w:type="dxa"/>
        <w:tblLayout w:type="fixed"/>
        <w:tblCellMar>
          <w:top w:w="0" w:type="dxa"/>
          <w:left w:w="0" w:type="dxa"/>
          <w:bottom w:w="0" w:type="dxa"/>
          <w:right w:w="0" w:type="dxa"/>
        </w:tblCellMar>
      </w:tblPr>
      <w:tblGrid>
        <w:gridCol w:w="4880"/>
        <w:gridCol w:w="60"/>
        <w:gridCol w:w="158"/>
        <w:gridCol w:w="716"/>
        <w:gridCol w:w="95"/>
        <w:gridCol w:w="60"/>
        <w:gridCol w:w="158"/>
        <w:gridCol w:w="716"/>
        <w:gridCol w:w="110"/>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4880" w:type="dxa"/>
            <w:tcBorders>
              <w:bottom w:val="single" w:sz="8" w:space="0" w:color="000000"/>
            </w:tcBorders>
            <w:tcMar>
              <w:bottom w:w="28" w:type="dxa"/>
            </w:tcMar>
            <w:vAlign w:val="center"/>
          </w:tcPr>
          <w:p>
            <w:pPr>
              <w:pStyle w:val="TableContents"/>
              <w:bidi w:val="0"/>
              <w:spacing w:before="0" w:after="283"/>
              <w:jc w:val="left"/>
              <w:rPr/>
            </w:pPr>
            <w:r>
              <w:rPr/>
              <w:t>(in thousands of USD)</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GAAP Net Loss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(7,310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(5,679</w:t>
            </w:r>
          </w:p>
        </w:tc>
        <w:tc>
          <w:tcPr>
            <w:tcW w:w="110" w:type="dxa"/>
            <w:tcBorders/>
            <w:shd w:fill="CCEEFF" w:val="clear"/>
            <w:vAlign w:val="center"/>
          </w:tcPr>
          <w:p>
            <w:pPr>
              <w:pStyle w:val="TableContents"/>
              <w:bidi w:val="0"/>
              <w:spacing w:before="0" w:after="283"/>
              <w:jc w:val="left"/>
              <w:rPr/>
            </w:pPr>
            <w:r>
              <w:rPr/>
              <w:t>)</w:t>
            </w:r>
          </w:p>
        </w:tc>
      </w:tr>
      <w:tr>
        <w:trPr/>
        <w:tc>
          <w:tcPr>
            <w:tcW w:w="4880" w:type="dxa"/>
            <w:tcBorders/>
            <w:shd w:fill="FFFFFF" w:val="clear"/>
            <w:vAlign w:val="center"/>
          </w:tcPr>
          <w:p>
            <w:pPr>
              <w:pStyle w:val="TableContents"/>
              <w:bidi w:val="0"/>
              <w:spacing w:before="0" w:after="283"/>
              <w:jc w:val="left"/>
              <w:rPr/>
            </w:pPr>
            <w:r>
              <w:rPr/>
              <w:t>Stock-based compensation expenses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716" w:type="dxa"/>
            <w:tcBorders/>
            <w:shd w:fill="FFFFFF" w:val="clear"/>
            <w:vAlign w:val="center"/>
          </w:tcPr>
          <w:p>
            <w:pPr>
              <w:pStyle w:val="TableContents"/>
              <w:bidi w:val="0"/>
              <w:spacing w:before="0" w:after="283"/>
              <w:jc w:val="right"/>
              <w:rPr/>
            </w:pPr>
            <w:r>
              <w:rPr/>
              <w:t>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716" w:type="dxa"/>
            <w:tcBorders/>
            <w:shd w:fill="FFFFFF" w:val="clear"/>
            <w:vAlign w:val="center"/>
          </w:tcPr>
          <w:p>
            <w:pPr>
              <w:pStyle w:val="TableContents"/>
              <w:bidi w:val="0"/>
              <w:spacing w:before="0" w:after="283"/>
              <w:jc w:val="right"/>
              <w:rPr/>
            </w:pPr>
            <w:r>
              <w:rPr/>
              <w:t>429</w:t>
            </w:r>
          </w:p>
        </w:tc>
        <w:tc>
          <w:tcPr>
            <w:tcW w:w="11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Revaluation of derivative warrant liability expenses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pPr>
            <w:r>
              <w:rPr/>
              <w:t>380</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b/>
              </w:rPr>
            </w:pPr>
            <w:r>
              <w:rPr>
                <w:b/>
              </w:rPr>
              <w:t>Non-GAAP Net Loss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jc w:val="right"/>
              <w:rPr/>
            </w:pPr>
            <w:r>
              <w:rPr/>
              <w:t>(6,754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jc w:val="right"/>
              <w:rPr/>
            </w:pPr>
            <w:r>
              <w:rPr/>
              <w:t>(4,870</w:t>
            </w:r>
          </w:p>
        </w:tc>
        <w:tc>
          <w:tcPr>
            <w:tcW w:w="110"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this non-GAAP financial measure is useful in evaluating our business as a way of assisting an investor in evaluating future cash flows of the business.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Critical Accounting Policies and Estimates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 comprehensive discussion of our critical accounting policies is included in “Item 5. Operating and Financial Review and Prospects – Management’s Discussion and Analysis of Financial Condition and Results of Operations” section in our Annual Report, as well as our unaudited condensed financial statements and the related notes thereto for the six months ended June 30, 2026, included elsewhere in this Report Form 6-K.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 xml:space="preserve">Overview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through June 30, 2026, we have funded our operations principally with approximately $103 million (net of issuance expenses) from the issuance of ordinary shares, preferred shares, and warrants in public and private offerings. As of June 30, 2026, we had approximately $15.3 million in 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table below presents our cash flows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9314" w:type="dxa"/>
        <w:jc w:val="left"/>
        <w:tblInd w:w="0" w:type="dxa"/>
        <w:tblLayout w:type="fixed"/>
        <w:tblCellMar>
          <w:top w:w="0" w:type="dxa"/>
          <w:left w:w="0" w:type="dxa"/>
          <w:bottom w:w="0" w:type="dxa"/>
          <w:right w:w="0" w:type="dxa"/>
        </w:tblCellMar>
      </w:tblPr>
      <w:tblGrid>
        <w:gridCol w:w="6410"/>
        <w:gridCol w:w="60"/>
        <w:gridCol w:w="106"/>
        <w:gridCol w:w="1124"/>
        <w:gridCol w:w="168"/>
        <w:gridCol w:w="106"/>
        <w:gridCol w:w="106"/>
        <w:gridCol w:w="1124"/>
        <w:gridCol w:w="110"/>
      </w:tblGrid>
      <w:tr>
        <w:trPr/>
        <w:tc>
          <w:tcPr>
            <w:tcW w:w="64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3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6410" w:type="dxa"/>
            <w:tcBorders>
              <w:bottom w:val="single" w:sz="8" w:space="0" w:color="000000"/>
            </w:tcBorders>
            <w:tcMar>
              <w:bottom w:w="28" w:type="dxa"/>
            </w:tcMar>
            <w:vAlign w:val="center"/>
          </w:tcPr>
          <w:p>
            <w:pPr>
              <w:pStyle w:val="TableContents"/>
              <w:bidi w:val="0"/>
              <w:spacing w:before="0" w:after="283"/>
              <w:jc w:val="both"/>
              <w:rPr/>
            </w:pPr>
            <w:r>
              <w:rPr/>
              <w:t>(in thousands of USD)</w:t>
            </w:r>
          </w:p>
        </w:tc>
        <w:tc>
          <w:tcPr>
            <w:tcW w:w="60" w:type="dxa"/>
            <w:tcBorders/>
            <w:vAlign w:val="center"/>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283"/>
              <w:jc w:val="both"/>
              <w:rPr/>
            </w:pPr>
            <w:r>
              <w:rPr/>
              <w:t> </w:t>
            </w:r>
          </w:p>
        </w:tc>
        <w:tc>
          <w:tcPr>
            <w:tcW w:w="16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both"/>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(6,213</w:t>
            </w:r>
          </w:p>
        </w:tc>
        <w:tc>
          <w:tcPr>
            <w:tcW w:w="168"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(4,661</w:t>
            </w:r>
          </w:p>
        </w:tc>
        <w:tc>
          <w:tcPr>
            <w:tcW w:w="110"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both"/>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92</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both"/>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1,083</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9,759</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both"/>
              <w:rPr/>
            </w:pPr>
            <w:r>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(4,648</w:t>
            </w:r>
          </w:p>
        </w:tc>
        <w:tc>
          <w:tcPr>
            <w:tcW w:w="168"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5,216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Operating Activities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Net cash used in operating activities of $6,213,000 during the six months ended June 30, 2026, was primarily used </w:t>
      </w:r>
      <w:r>
        <w:rPr>
          <w:rFonts w:ascii="Times New Roman;Times;Serif" w:hAnsi="Times New Roman;Times;Serif"/>
          <w:b w:val="false"/>
          <w:i w:val="false"/>
          <w:caps w:val="false"/>
          <w:smallCaps w:val="false"/>
          <w:sz w:val="20"/>
        </w:rPr>
        <w:t>for payment of an aggregate of approximately $</w:t>
      </w:r>
      <w:r>
        <w:rPr>
          <w:rFonts w:ascii="Times New Roman;Times;Serif" w:hAnsi="Times New Roman;Times;Serif"/>
          <w:b w:val="false"/>
          <w:i w:val="false"/>
          <w:caps w:val="false"/>
          <w:smallCaps w:val="false"/>
          <w:sz w:val="20"/>
          <w:shd w:fill="FFFFFF" w:val="clear"/>
        </w:rPr>
        <w:t xml:space="preserve">4,578,000 </w:t>
      </w:r>
      <w:r>
        <w:rPr>
          <w:rFonts w:ascii="Times New Roman;Times;Serif" w:hAnsi="Times New Roman;Times;Serif"/>
          <w:b w:val="false"/>
          <w:i w:val="false"/>
          <w:caps w:val="false"/>
          <w:smallCaps w:val="false"/>
          <w:sz w:val="20"/>
        </w:rPr>
        <w:t>in salaries and related personnel expenses. The remaining amount of approximately $</w:t>
      </w:r>
      <w:r>
        <w:rPr>
          <w:rFonts w:ascii="Times New Roman;Times;Serif" w:hAnsi="Times New Roman;Times;Serif"/>
          <w:b w:val="false"/>
          <w:i w:val="false"/>
          <w:caps w:val="false"/>
          <w:smallCaps w:val="false"/>
          <w:sz w:val="20"/>
          <w:shd w:fill="FFFFFF" w:val="clear"/>
        </w:rPr>
        <w:t>1,635,000</w:t>
      </w:r>
      <w:r>
        <w:rPr>
          <w:rFonts w:ascii="Times New Roman;Times;Serif" w:hAnsi="Times New Roman;Times;Serif"/>
          <w:b w:val="false"/>
          <w:i w:val="false"/>
          <w:caps w:val="false"/>
          <w:smallCaps w:val="false"/>
          <w:sz w:val="20"/>
        </w:rPr>
        <w:t xml:space="preserve"> was used for professional services, marketing, travel, rent and other miscellaneous expenses</w:t>
      </w:r>
      <w:r>
        <w:rPr>
          <w:rFonts w:ascii="Times New Roman;Times;Serif" w:hAnsi="Times New Roman;Times;Serif"/>
          <w:b w:val="false"/>
          <w:i w:val="false"/>
          <w:caps w:val="false"/>
          <w:smallCaps w:val="false"/>
          <w:sz w:val="20"/>
          <w:shd w:fill="FFFFFF" w:val="clear"/>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Net cash used in operating activities of $4,661,000 during the six months ended June 30, 2025, was primarily used for payment of an aggregate of approximately $3,711,000 in salaries and related personnel expenses. The remaining amount of approximately $950,000 was used for professional services, travel, rent and other miscellaneous expenses.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Investing Activities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of $</w:t>
      </w:r>
      <w:r>
        <w:rPr>
          <w:rFonts w:ascii="Times New Roman;Times;Serif" w:hAnsi="Times New Roman;Times;Serif"/>
          <w:b w:val="false"/>
          <w:i w:val="false"/>
          <w:caps w:val="false"/>
          <w:smallCaps w:val="false"/>
          <w:sz w:val="20"/>
          <w:shd w:fill="FFFFFF" w:val="clear"/>
        </w:rPr>
        <w:t xml:space="preserve">92,000 </w:t>
      </w:r>
      <w:r>
        <w:rPr>
          <w:rFonts w:ascii="Times New Roman;Times;Serif" w:hAnsi="Times New Roman;Times;Serif"/>
          <w:b w:val="false"/>
          <w:i w:val="false"/>
          <w:caps w:val="false"/>
          <w:smallCaps w:val="false"/>
          <w:sz w:val="20"/>
        </w:rPr>
        <w:t xml:space="preserve">during the six months ended June 30, 2026 reflected $163,000 of cash acquired upon the initial consolidation of Quantum Transportation, net, partially offset by $71,000 used for purchases of fixed assets. Net cash used by investing activities of $10,000 during the </w:t>
      </w:r>
      <w:r>
        <w:rPr>
          <w:rFonts w:ascii="Times New Roman;Times;Serif" w:hAnsi="Times New Roman;Times;Serif"/>
          <w:b w:val="false"/>
          <w:i w:val="false"/>
          <w:caps w:val="false"/>
          <w:smallCaps w:val="false"/>
          <w:sz w:val="20"/>
          <w:shd w:fill="FFFFFF" w:val="clear"/>
        </w:rPr>
        <w:t>six months ended June 30, 2025</w:t>
      </w:r>
      <w:r>
        <w:rPr>
          <w:rFonts w:ascii="Times New Roman;Times;Serif" w:hAnsi="Times New Roman;Times;Serif"/>
          <w:b w:val="false"/>
          <w:i w:val="false"/>
          <w:caps w:val="false"/>
          <w:smallCaps w:val="false"/>
          <w:sz w:val="20"/>
        </w:rPr>
        <w:t>, primarily reflected the purchase of fixed assets.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 xml:space="preserve">Financing Activities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Net cash provided by financing activities during the six months ended June 30, 2026, consisted of $1,083,000</w:t>
      </w:r>
      <w:r>
        <w:rPr>
          <w:rFonts w:ascii="Times New Roman;Times;Serif" w:hAnsi="Times New Roman;Times;Serif"/>
          <w:b w:val="false"/>
          <w:i w:val="false"/>
          <w:caps w:val="false"/>
          <w:smallCaps w:val="false"/>
          <w:sz w:val="20"/>
        </w:rPr>
        <w:t xml:space="preserve"> primarily in proceeds from the issuance of ordinary shares, net of issuance expenses, in relation to the ATM Facility (as defined below. See “At-the-Market Sales Agreement (April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Net cash provided by financing activities during the six months ended June 30, 2025, consisted of $9,759,000 of net proceeds from our issuance of ordinary shares under the SEPA and exercise of warrants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At-the-Market Sales Agreement (April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we entered into a Sales Agreement, or Sales Agreement, with A.G.P./Alliance Global Partners, as sales agent, or A.G.P. Pursuant to the Sales Agreement, we may offer and sell, from time to time through A.G.P. our ordinary shares, having an aggregate offering price of up to $11,311,750, from time to time through A.G.P, or the ATM Facility. On December 5, 2025, we increased the aggregate offering price of the ATM Facility to $13,673,937, which does not include approximately $2,194,879 of ordinary shares sold under the ATM Sales Agreement prior to that date. A.G.P. is entitled to a commission equal to 3.0% of the gross proceeds from the sale of the ordinary shares and will be reimbursed for certain specified expenses in connection with entering into the Sales Agreement. During the six months ended June 30, 2026, we sold 125,403 ordinary shares, for aggregate net proceeds of approximately $1.1 million, pursuant to the Sales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Standby Equity Purchase Agreement (October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2024, we entered into a Standby Equity Purchase Agreement, or the SEPA, with YA II PN, LTD., or Yorkville, pursuant to which we have the right, but not the obligation, to sell Yorkville up to $30.0 million of our ordinary shares (following a February 2025 amendment increasing the original $20.0 million commitment), subject to certain conditions and limitations, including a cap on Yorkville’s beneficial ownership of 4.99% of our outstanding ordinary shares. As of the date hereof, we have issued and sold an aggregate of 740,363 ordinary shares to Yorkville under the SEPA for aggregate gross proceeds of approximately $18.3 million. On April 24, 2025, concurrently with our entry into the Sales Agreement described above, we reduced the maximum aggregate offering price registered under the SEPA to zero, and the SEPA is no longer an active source of funding as of the date of this Report. For a complete description of the terms of the SEPA, see “Item 5.B—Liquidity and Capital Resources” in our Annual Report on Form 20-F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of Credit Facility Agreement and Issuance of Warrant (January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9, 2024, we entered into a facility agreement, or the Facility Agreement, for a $6 million credit facility, or the Credit Facility, and an additional amount up to $3 million, subject to certain conditions, or the Additional Loans, with a global investment firm, or the Lender, who was also an Investor in the January 2024 PIPE. The Credit Facility, which had an initial term of 10 months, accrued interest at a rate of 8% per annum, and the first payment of $1.5 million was drawn down upon execution of the Facility Agreement and the remaining amount was able to be drawn down in eight equal installments as of March 7, 2024. As detailed below, the Facility Agreement terminated on March 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Facility Agreement, the Lender’s financing obligations terminated in the event we drew down $7.5 million or more pursuant to an alternate credit facility or closes one or more equity financing transaction in an aggregate amount of at least $5 million. As of March 1, 2024, we had received aggregate gross proceeds of more than $5 million from the purchase of Units in the January 2024 Private Placement, the exercise of warrants issued in the January 2024 Private Placement and our exercise of the Conversion Right in the amount of $500,000. As a result, the Lender’s financing obligations have terminated pursuant to the terms of the Facility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close one or more equity financing transactions in an aggregate amount of at least $5 million (including the conversion of the Credit Facility), we had the right to convert into ordinary share up to $1.5 million, including accrued interest, of a loan extended or to be extended to us by the Lender, or the January 2024 Conversion Loan Amount, in connection with and in the framework of a financing transaction of ours on the date that follows the date upon which we notified the Lender of such financing transaction, which conversion will occur upon the same terms.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Facility Agreement, we issued a warrant, or the January 2024 Facility Warrant, to the Lender to purchase 80,645 of our ordinary shares representing an aggregate exercise amount of $7.5 million, with a per share exercise price of $93.00, subject to certain adjustments and certain anti-dilution protection, representing a 150% premium of the closing share price of our ordinary shares on January 5, 2024. The January 2024 Facility Warrant is immediately exercisable upon issuance and has a term of 5 years from the date of issuance. Following the closing of the January 2024 PIPE, the exercise price of the January 2024 Facility Warrant was adjusted to $12.24 which is the effective price per ordinary share in the January 2024 PIPE, or the January 2024 Facility Warrant Adjusted Exercise Price, and the number of ordinary shares issuable upon the exercise of the January 2024 Facility Warrant was also adjusted to a total 612,745, or the January 2024 Facility Warrant Adjusted Shares, such that the product of the January 2024 Facility Warrant Adjusted Exercise Price and the January 2024 Facility Warrant Adjusted Shares is equal to an aggregate exercise amount of $7.5 million. As of the date of this Report, 572,333 January 2024 Facility Warrants have been exercised resulting in gross proceeds of approximately $7.0 million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we and the Lender agreed to amend the January 2024 Facility Warrant. The amendment increased the beneficial ownership limitation applicable to the exercise of the January 2024 Facility Warrant from 4.99% to 19.99% of our outstanding ordinary shares immediately after giving effect to the issuance of ordinary shares upon exercise of the January 2024 Facility Warrant. The amendment became effective on May 5, 2026, the 61st day following March 5, 2026. Following additional adjustments pursuant to the anti-dilution provisions of the January 2024 Facility Warrant, as a result of sales of ordinary shares under the ATM Sales Agreement, as of the date of this Report, the January 2024 Facility Warrant is exercisable for up to 98,282 ordinary shares at an exercise price of $5.0328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Outlook</w:t>
      </w:r>
    </w:p>
    <w:p>
      <w:pPr>
        <w:pStyle w:val="TextBody"/>
        <w:bidi w:val="0"/>
        <w:spacing w:before="0" w:after="0"/>
        <w:ind w:left="0" w:right="0" w:firstLine="30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financed our operations to date primarily through proceeds from sales of our equity securities in public and private offerings, as well as a loan from a related party. We have incurred losses and generated negative cash flows from operations since inception in April 2016. Since inception, we have not generated significant revenues from the sale of products, and we do not expect to generate significant revenues from the sale of our products in the near future.</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require substantial additional capital to complete the development of additional features of our system according to customers’ requirements, including algorithm optimization, cognitive layer development, system minimization and optical development, as well as to commercialize our products. In addition, our operating plans may change as a result of many factors that may currently be unknown to us, and we may need to seek additional funds sooner than planned. Our future capital requirements will depend on many factors,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and costs of our research and development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manufacturing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filing, prosecuting, enforcing and defending patent claims and other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costs of contracting with third parties to provide marketing and distribution services for us or for building such capacities internally;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magnitude of our general and administrative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significant revenues from our activities and have incurred substantial operating losses. We expect that we will continue to generate substantial operating losses and will continue to fund our operations primarily through the utilization of our current financial resources, sales of our products, and through additional raises of capital.</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entered into the ATM Facility pursuant to which we have issued an aggregate of 254,074 ordinary shares resulting in aggregate gross proceeds of approximately $3.1 million to date . In addition, to date, we have received approximately $18.3 million as a result of sales of 740,363 of our ordinary shares (not including the Commitment Shares) to Yorkville pursuant to the SEPA.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cash and cash equivalents as of the issuance date of this Report and the future expected cash flow from sales will be sufficient for more than 12 months of operations. Without derogating from the foregoing estimate regarding our existing capital resources and cash flows from operations, we may decide to raise additional funds in the second half of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will depend on many factors, including our revenue growth, the timing and extent of investments to support such growth, the expansion of sales and marketing activities, increases in general and administrative costs and many other factors as described under “Item 3.D—Risk Factors.” in our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If we are unable to raise additional funds when desired, our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in our other filings made with the SEC on or prior to the date of this Report, there have been no material changes to the risk factors previously disclosed in the Annual Report.</w:t>
      </w:r>
    </w:p>
    <w:p>
      <w:pPr>
        <w:pStyle w:val="TextBody"/>
        <w:shd w:fill="FFFFFF" w:val="clear"/>
        <w:bidi w:val="0"/>
        <w:spacing w:before="0" w:after="0"/>
        <w:ind w:left="0" w:right="0" w:firstLine="583"/>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583"/>
        <w:jc w:val="left"/>
        <w:rPr/>
      </w:pPr>
      <w:bookmarkStart w:id="246" w:name="ex99-4.htm"/>
      <w:bookmarkStart w:id="247" w:name="ksex994"/>
      <w:bookmarkEnd w:id="246"/>
      <w:bookmarkEnd w:id="247"/>
      <w:r>
        <w:rPr/>
        <w:t> </w:t>
      </w:r>
      <w:r>
        <w:br w:type="page"/>
      </w:r>
    </w:p>
    <w:p>
      <w:pPr>
        <w:pStyle w:val="TextBody"/>
        <w:bidi w:val="0"/>
        <w:jc w:val="right"/>
        <w:rPr>
          <w:b/>
        </w:rPr>
      </w:pPr>
      <w:r>
        <w:rPr>
          <w:b/>
        </w:rPr>
        <w:t>Exhibit 99.4</w:t>
      </w:r>
    </w:p>
    <w:p>
      <w:pPr>
        <w:pStyle w:val="TextBody"/>
        <w:bidi w:val="0"/>
        <w:jc w:val="center"/>
        <w:rPr/>
      </w:pPr>
      <w:r>
        <w:rPr/>
        <w:t> </w:t>
      </w:r>
      <w:r>
        <w:rPr/>
        <w:drawing>
          <wp:inline distT="0" distB="0" distL="0" distR="0">
            <wp:extent cx="13716000" cy="77082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6625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1"/>
                    <a:stretch>
                      <a:fillRect/>
                    </a:stretch>
                  </pic:blipFill>
                  <pic:spPr bwMode="auto">
                    <a:xfrm>
                      <a:off x="0" y="0"/>
                      <a:ext cx="13716000" cy="766254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699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2"/>
                    <a:stretch>
                      <a:fillRect/>
                    </a:stretch>
                  </pic:blipFill>
                  <pic:spPr bwMode="auto">
                    <a:xfrm>
                      <a:off x="0" y="0"/>
                      <a:ext cx="13716000" cy="769937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3"/>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4"/>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177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5"/>
                    <a:stretch>
                      <a:fillRect/>
                    </a:stretch>
                  </pic:blipFill>
                  <pic:spPr bwMode="auto">
                    <a:xfrm>
                      <a:off x="0" y="0"/>
                      <a:ext cx="13716000" cy="771779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6"/>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7"/>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8"/>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9"/>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0"/>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1"/>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2"/>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3"/>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4"/>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5"/>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6"/>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7"/>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8"/>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9"/>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30"/>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31"/>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32"/>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33"/>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34"/>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35"/>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6"/>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7"/>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8"/>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9"/>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40"/>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13716000" cy="770826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41"/>
                    <a:stretch>
                      <a:fillRect/>
                    </a:stretch>
                  </pic:blipFill>
                  <pic:spPr bwMode="auto">
                    <a:xfrm>
                      <a:off x="0" y="0"/>
                      <a:ext cx="13716000" cy="770826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3905/000121390023025864/ea175195-f3_railvision.htm" TargetMode="External"/><Relationship Id="rId3" Type="http://schemas.openxmlformats.org/officeDocument/2006/relationships/hyperlink" Target="https://www.sec.gov/Archives/edgar/data/1743905/000121390023051701/ea180682-f3_railvision.htm" TargetMode="External"/><Relationship Id="rId4" Type="http://schemas.openxmlformats.org/officeDocument/2006/relationships/hyperlink" Target="https://www.sec.gov/Archives/edgar/data/1743905/000121390024022842/ea0201842-f3_railvision.htm" TargetMode="External"/><Relationship Id="rId5" Type="http://schemas.openxmlformats.org/officeDocument/2006/relationships/hyperlink" Target="https://www.sec.gov/Archives/edgar/data/1743905/000121390024032532/ea0203698-f3_railvision.htm" TargetMode="External"/><Relationship Id="rId6" Type="http://schemas.openxmlformats.org/officeDocument/2006/relationships/hyperlink" Target="https://www.sec.gov/Archives/edgar/data/1743905/000121390022036668/ea162230-s8_railvision.htm" TargetMode="External"/><Relationship Id="rId7" Type="http://schemas.openxmlformats.org/officeDocument/2006/relationships/hyperlink" Target="https://www.sec.gov/Archives/edgar/data/1743905/000121390024066109/ea0210698-s8_railvision.htm" TargetMode="External"/><Relationship Id="rId8" Type="http://schemas.openxmlformats.org/officeDocument/2006/relationships/hyperlink" Target="https://www.sec.gov/Archives/edgar/data/1743905/000164117225005552/forms-8.htm"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11371</Words>
  <Characters>64399</Characters>
  <CharactersWithSpaces>77574</CharactersWithSpaces>
  <Paragraphs>4636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