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Revach Hila Kiron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0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Rail Vision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RVSN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RAIL VISION LTD.</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 HA'TIDHAR ST.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RA'ANANA L3</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4366517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140" w:type="dxa"/>
            <w:vAlign w:val="bottom"/>
          </w:tcPr>
          <w:p>
            <w:pPr>
              <w:jc w:val="center"/>
              <w:ind w:left="1146"/>
              <w:spacing w:after="0"/>
              <w:rPr>
                <w:sz w:val="20"/>
                <w:szCs w:val="20"/>
                <w:color w:val="auto"/>
              </w:rPr>
            </w:pPr>
            <w:r>
              <w:rPr>
                <w:rFonts w:ascii="Times New Roman" w:cs="Times New Roman" w:eastAsia="Times New Roman" w:hAnsi="Times New Roman"/>
                <w:sz w:val="20"/>
                <w:szCs w:val="20"/>
                <w:color w:val="0000FF"/>
                <w:w w:val="97"/>
              </w:rPr>
              <w:t>1,152</w:t>
            </w:r>
          </w:p>
        </w:tc>
        <w:tc>
          <w:tcPr>
            <w:tcW w:w="4100" w:type="dxa"/>
            <w:vAlign w:val="bottom"/>
          </w:tcPr>
          <w:p>
            <w:pPr>
              <w:ind w:left="60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660" w:type="dxa"/>
            <w:vAlign w:val="bottom"/>
            <w:tcBorders>
              <w:bottom w:val="single" w:sz="8" w:color="2C2C2C"/>
            </w:tcBorders>
          </w:tcPr>
          <w:p>
            <w:pPr>
              <w:spacing w:after="0"/>
              <w:rPr>
                <w:sz w:val="6"/>
                <w:szCs w:val="6"/>
                <w:color w:val="auto"/>
              </w:rPr>
            </w:pPr>
          </w:p>
        </w:tc>
        <w:tc>
          <w:tcPr>
            <w:tcW w:w="3140" w:type="dxa"/>
            <w:vAlign w:val="bottom"/>
            <w:tcBorders>
              <w:bottom w:val="single" w:sz="8" w:color="2C2C2C"/>
            </w:tcBorders>
          </w:tcPr>
          <w:p>
            <w:pPr>
              <w:spacing w:after="0"/>
              <w:rPr>
                <w:sz w:val="6"/>
                <w:szCs w:val="6"/>
                <w:color w:val="auto"/>
              </w:rPr>
            </w:pPr>
          </w:p>
        </w:tc>
        <w:tc>
          <w:tcPr>
            <w:tcW w:w="4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3140" w:type="dxa"/>
            <w:vAlign w:val="bottom"/>
            <w:tcBorders>
              <w:bottom w:val="single" w:sz="8" w:color="2C2C2C"/>
            </w:tcBorders>
          </w:tcPr>
          <w:p>
            <w:pPr>
              <w:jc w:val="center"/>
              <w:ind w:left="1146"/>
              <w:spacing w:after="0" w:line="359" w:lineRule="exact"/>
              <w:rPr>
                <w:sz w:val="20"/>
                <w:szCs w:val="20"/>
                <w:color w:val="auto"/>
              </w:rPr>
            </w:pPr>
            <w:r>
              <w:rPr>
                <w:rFonts w:ascii="Times New Roman" w:cs="Times New Roman" w:eastAsia="Times New Roman" w:hAnsi="Times New Roman"/>
                <w:sz w:val="39"/>
                <w:szCs w:val="39"/>
                <w:color w:val="0000FF"/>
                <w:w w:val="86"/>
                <w:vertAlign w:val="subscript"/>
              </w:rPr>
              <w:t>973</w:t>
            </w:r>
            <w:r>
              <w:rPr>
                <w:rFonts w:ascii="Times New Roman" w:cs="Times New Roman" w:eastAsia="Times New Roman" w:hAnsi="Times New Roman"/>
                <w:sz w:val="13"/>
                <w:szCs w:val="13"/>
                <w:color w:val="008000"/>
                <w:w w:val="86"/>
              </w:rPr>
              <w:t>(1)(3)</w:t>
            </w:r>
          </w:p>
        </w:tc>
        <w:tc>
          <w:tcPr>
            <w:tcW w:w="410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3140" w:type="dxa"/>
            <w:vAlign w:val="bottom"/>
            <w:tcBorders>
              <w:bottom w:val="single" w:sz="8" w:color="2C2C2C"/>
            </w:tcBorders>
          </w:tcPr>
          <w:p>
            <w:pPr>
              <w:jc w:val="center"/>
              <w:ind w:left="1146"/>
              <w:spacing w:after="0" w:line="359" w:lineRule="exact"/>
              <w:rPr>
                <w:sz w:val="20"/>
                <w:szCs w:val="20"/>
                <w:color w:val="auto"/>
              </w:rPr>
            </w:pPr>
            <w:r>
              <w:rPr>
                <w:rFonts w:ascii="Times New Roman" w:cs="Times New Roman" w:eastAsia="Times New Roman" w:hAnsi="Times New Roman"/>
                <w:sz w:val="39"/>
                <w:szCs w:val="39"/>
                <w:color w:val="0000FF"/>
                <w:w w:val="81"/>
                <w:vertAlign w:val="subscript"/>
              </w:rPr>
              <w:t>1,375</w:t>
            </w:r>
            <w:r>
              <w:rPr>
                <w:rFonts w:ascii="Times New Roman" w:cs="Times New Roman" w:eastAsia="Times New Roman" w:hAnsi="Times New Roman"/>
                <w:sz w:val="13"/>
                <w:szCs w:val="13"/>
                <w:color w:val="008000"/>
                <w:w w:val="81"/>
              </w:rPr>
              <w:t>(2)(3)</w:t>
            </w:r>
          </w:p>
        </w:tc>
        <w:tc>
          <w:tcPr>
            <w:tcW w:w="410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660" w:type="dxa"/>
            <w:vAlign w:val="bottom"/>
            <w:tcBorders>
              <w:top w:val="single" w:sz="8" w:color="808080"/>
            </w:tcBorders>
            <w:shd w:val="clear" w:color="auto" w:fill="2C2C2C"/>
          </w:tcPr>
          <w:p>
            <w:pPr>
              <w:spacing w:after="0" w:line="20" w:lineRule="exact"/>
              <w:rPr>
                <w:sz w:val="1"/>
                <w:szCs w:val="1"/>
                <w:color w:val="auto"/>
              </w:rPr>
            </w:pPr>
          </w:p>
        </w:tc>
        <w:tc>
          <w:tcPr>
            <w:tcW w:w="3140" w:type="dxa"/>
            <w:vAlign w:val="bottom"/>
            <w:tcBorders>
              <w:top w:val="single" w:sz="8" w:color="808080"/>
            </w:tcBorders>
            <w:shd w:val="clear" w:color="auto" w:fill="2C2C2C"/>
          </w:tcPr>
          <w:p>
            <w:pPr>
              <w:spacing w:after="0" w:line="20" w:lineRule="exact"/>
              <w:rPr>
                <w:sz w:val="1"/>
                <w:szCs w:val="1"/>
                <w:color w:val="auto"/>
              </w:rPr>
            </w:pPr>
          </w:p>
        </w:tc>
        <w:tc>
          <w:tcPr>
            <w:tcW w:w="4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vest in 7 equal installments on a quarterly basis beginning on March 31, 2026, subject to the Reporting Person's continued service.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vest in 9 equal installments on a quarterly basis beginning on March 31, 2026, subject to the Reporting Person's continued service.</w:t>
      </w:r>
    </w:p>
    <w:p>
      <w:pPr>
        <w:spacing w:after="0" w:line="52" w:lineRule="exact"/>
        <w:rPr>
          <w:rFonts w:ascii="Times New Roman" w:cs="Times New Roman" w:eastAsia="Times New Roman" w:hAnsi="Times New Roman"/>
          <w:sz w:val="15"/>
          <w:szCs w:val="15"/>
          <w:color w:val="008000"/>
        </w:rPr>
      </w:pPr>
    </w:p>
    <w:p>
      <w:pPr>
        <w:ind w:left="40" w:right="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To qualify for certain tax benefits under Section 102 of the Israeli Tax Ordinance, securities issued to an employee in connection with the Rail Vision Ltd. Amended Share Option Plan must be registered in the name of a trustee.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/s/ Hila Kiron-Revach</w:t>
            </w:r>
          </w:p>
        </w:tc>
        <w:tc>
          <w:tcPr>
            <w:tcW w:w="46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66928" TargetMode="External"/><Relationship Id="rId11" Type="http://schemas.openxmlformats.org/officeDocument/2006/relationships/hyperlink" Target="http://www.sec.gov/cgi-bin/browse-edgar?action=getcompany&amp;CIK=00017439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2026-03-18T05:47:35Z</dcterms:created>
  <dcterms:modified xsi:type="dcterms:W3CDTF">2026-03-18T05:47:35Z</dcterms:modified>
</cp:coreProperties>
</file>