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March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001-41334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RAIL VISION LTD.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Ha’Tidhar St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Ra’anana, 4366517 Israel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herein is the Registrant’s press release issued on March 31, 2026, titled “Rail Vision Announces Second Half and Full Year 2025 Financial Results.”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EXHIBIT INDEX</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3"/>
        <w:gridCol w:w="60"/>
        <w:gridCol w:w="9222"/>
      </w:tblGrid>
      <w:tr>
        <w:trPr/>
        <w:tc>
          <w:tcPr>
            <w:tcW w:w="92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22"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by Rail Vision Ltd. on March 31, 2026, titled “Rail Vision Announces Second Half and Full Year 2025 Financial Results”</w:t>
              </w:r>
            </w:hyperlink>
          </w:p>
        </w:tc>
      </w:tr>
    </w:tbl>
    <w:p>
      <w:pPr>
        <w:pStyle w:val="TextBody"/>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1805"/>
        <w:gridCol w:w="545"/>
        <w:gridCol w:w="189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Ofer Naveh</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Naveh</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drawing>
          <wp:inline distT="0" distB="0" distL="0" distR="0">
            <wp:extent cx="3200400" cy="5118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51181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Announces Second Half and Full Year 2025 Financial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presents strong balance sheet with year-end cash of approximately $20 million and zero debt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up 14.4% year-over-year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Ra’anana, Israel, March 31, 2026 (GLOBE NEWSWIRE) – Rail Vision Ltd. (Nasdaq: RVSN, FSE: C80) (“Rail Vision” or the “Company”), an early commercialization stage technology company transforming railway safety through advanced AI-integrated sensing systems, today announced its financial results for the second half and full year ended December 31, 2025. The Company reported revenue growth and operational progress, strengthening its global market presence.</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2025 was a transformative year for Rail Vision,” said David BenDavid, Chief Executive Officer. “We advanced key installations with Israel Railways, secured follow-on orders from a leading mining operator in Latin America, penetrated deeper into Central America, and launched a high-profile proof of concept in India with Sujan Industries – all demonstrating strong validation of our AI-driven safety solutions in real-world, demanding environments. The global railroad industry was </w:t>
      </w:r>
      <w:r>
        <w:rPr>
          <w:rFonts w:ascii="Times New Roman;Times;Serif" w:hAnsi="Times New Roman;Times;Serif"/>
          <w:b w:val="false"/>
          <w:i w:val="false"/>
          <w:caps w:val="false"/>
          <w:smallCaps w:val="false"/>
          <w:sz w:val="20"/>
          <w:u w:val="single"/>
        </w:rPr>
        <w:t>valued at over $340 billion in 2025</w:t>
      </w:r>
      <w:r>
        <w:rPr>
          <w:rFonts w:ascii="Times New Roman;Times;Serif" w:hAnsi="Times New Roman;Times;Serif"/>
          <w:b w:val="false"/>
          <w:i w:val="false"/>
          <w:caps w:val="false"/>
          <w:smallCaps w:val="false"/>
          <w:sz w:val="20"/>
        </w:rPr>
        <w:t xml:space="preserve"> and projected to grow toward $460 billion by the mid-2030s. In this expanding market, we are leveraging our technological leadership in cutting-edge obstacle detection and railway analytics as we aim to drive safer, more efficient rail operations worldwide and deliver long-term value to our stakeholders and partners.”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and Recent Business Highlights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Israel - </w:t>
      </w:r>
      <w:r>
        <w:rPr>
          <w:rFonts w:ascii="Times New Roman;Times;Serif" w:hAnsi="Times New Roman;Times;Serif"/>
          <w:b w:val="false"/>
          <w:i w:val="false"/>
          <w:caps w:val="false"/>
          <w:smallCaps w:val="false"/>
          <w:sz w:val="20"/>
        </w:rPr>
        <w:t>Rail Vision continued installations and operations of its MainLine systems with Israel Railways. The partnership was publicly highlighted at CES 2026 as cutting-edge AI obstacle detection technology. In addition, the Company aims to expand its product offering by deploying its ShuntingYard product within Israel Railways’ cargo division.</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Latin America - </w:t>
      </w:r>
      <w:r>
        <w:rPr>
          <w:rFonts w:ascii="Times New Roman;Times;Serif" w:hAnsi="Times New Roman;Times;Serif"/>
          <w:b w:val="false"/>
          <w:i w:val="false"/>
          <w:caps w:val="false"/>
          <w:smallCaps w:val="false"/>
          <w:sz w:val="20"/>
        </w:rPr>
        <w:t>Rail Vision secured a $335,000 follow-on order from a leading mining company following a successful long-term pilot under challenging environmental conditions, reinforcing commercial validation in the region.</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Central America - </w:t>
      </w:r>
      <w:r>
        <w:rPr>
          <w:rFonts w:ascii="Times New Roman;Times;Serif" w:hAnsi="Times New Roman;Times;Serif"/>
          <w:b w:val="false"/>
          <w:i w:val="false"/>
          <w:caps w:val="false"/>
          <w:smallCaps w:val="false"/>
          <w:sz w:val="20"/>
        </w:rPr>
        <w:t>Rail Vision received a purchase order for its MainLine system from a leading freight rail operator, marking continued geographic penetration.</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India - </w:t>
      </w:r>
      <w:r>
        <w:rPr>
          <w:rFonts w:ascii="Times New Roman;Times;Serif" w:hAnsi="Times New Roman;Times;Serif"/>
          <w:b w:val="false"/>
          <w:i w:val="false"/>
          <w:caps w:val="false"/>
          <w:smallCaps w:val="false"/>
          <w:sz w:val="20"/>
        </w:rPr>
        <w:t>Rail Vision signed a Memorandum of Understanding with Sujan Industries aimed at entering the Indian rail market. In March 2026, the Company announced the successful completion of a proof of concept demonstration of its MainLine system in India, receiving positive feedback from the customer on performance and suitability for potential controlled deployment.</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Quantum-AI Expansion- </w:t>
      </w:r>
      <w:r>
        <w:rPr>
          <w:rFonts w:ascii="Times New Roman;Times;Serif" w:hAnsi="Times New Roman;Times;Serif"/>
          <w:b w:val="false"/>
          <w:i w:val="false"/>
          <w:caps w:val="false"/>
          <w:smallCaps w:val="false"/>
          <w:sz w:val="20"/>
        </w:rPr>
        <w:t>The Company completed the acquisition of a 51% stake in Quantum Transportation, positioning it as a majority-owned subsidiary. Quantum Transportation unveiled a breakthrough transformer-based neural decoder for quantum error correction that outperformed classical algorithms in simulations. Rail Vision is exploring long-term synergies between quantum computing and railway AI applications.</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Financial Results</w:t>
      </w:r>
    </w:p>
    <w:p>
      <w:pPr>
        <w:pStyle w:val="TextBody"/>
        <w:bidi w:val="0"/>
        <w:spacing w:before="0" w:after="0"/>
        <w:ind w:left="4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year ended December 31, 2025, increased by 14.4% to $1,487,000, compared to $1,300,000 for the year ended December 31, 2024. Revenue growth was primarily driven by additional MainLine installations for Israel Railways, a MainLine system purchase by a Central American freight operator, a follow-on MainLine system order and spare parts sales to a Latin American mining company and services provided to existing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year ended December 31, 2025, increased by 30.0% to $6,864,000 compared to $5,279,000 for the year ended December 31, 2024. The increase was primarily attributable to higher salaries due to increased headcount and salary levels, absence of temporary salary reductions that were in effect during part of 2024, depreciation of the U.S. dollar against the NIS, higher share-based compensation and increased purchases of R&amp;D equipment.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totaled $5,423,000 for the year ended December 31, 2025, compared to $4,175,000 for the year ended December 31, 2024, representing an increase of $1,207,000 or 29.9%. The increase was primarily attributable to higher salaries including salary adjustments and one-time bonuses, increased share-based compensation, including new grants to employees and service providers and currency impact, partially offset by lower marketing expenses.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the Company’s operating loss for the year ended December 31, 2025, was $11,735,000 compared to an operating loss of $9,004,000 for the year ended December 31,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recorded expenses in the amount of $380,000 due to the revaluation of derivatives, warrants liabilities and others in connection with shares issued under the Standby Equity Purchase Agreement (SEPA). This compares to expenses of $20,181,000 for the year ended December 31, 2024, which were primarily related to warrants issued in a private placement and a convertible loan credit facility the Company entered into in January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financing income amounted to $1,015,000 for the year ended December 31, 2025, mainly driven by interest income on short-term deposits. This compares to $1,523,000 of other financial expenses for the year ended December 31, 2024. The $2,538,000 change is primarily attributable to the full amortization of the discount related to the convertible loan credit facility recorded in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for the year ended December 31, 2025, was $11,100,000, or $6.15 per ordinary share, compared to a GAAP net loss of $30,708,000, or $55.41 per ordinary share, in the year ended December 31,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loss for the year ended December 31, 2025, was $9,260,000, or $5.13 per ordinary share, compared to a non-GAAP net loss of $10,129,000, or $18.28 per ordinary share, in the year ended December 31, 2024.</w:t>
            </w:r>
          </w:p>
        </w:tc>
      </w:tr>
    </w:tbl>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GAAP operating results and non-GAAP operating results is provided in the financial data that is part of this release. Non-GAAP results exclude stock-based compensation expenses and revaluation of derivatives, warrant liabilities and other.</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Highlights (as of December 31, 2025):</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totaled approximately $20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zero financial debt.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 totaled $20.3 million, compared to $17.7 million at year-end 2024.</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net cash provided by financing activities was $11.8 million, primarily from issuances under the SEPA and ATM facilities and warrants exercises.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Half Financial Results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six months ended December 31, 2025, were $1,250,000, compared to $539,000 for the six months ended December 31, 2024, representing an increase of 132%, mainly comprised from higher system deliveries and installations.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six months ended December 31, 2025, were $3,623,000, compared to $2,821,000 for the six months ended December 31, 2024, representing an increase of 28%. The increase mainly reflects higher salaries due to increased headcount and salary levels and depreciation of the U.S. dollar against the NIS, higher share-based compensation and increased purchases of R&amp;D equipment.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six months ended December 31, 2025, were $2,911,000, compared to $2,059,000 in the six months ended December 31, 2024, representing an increase of 41%. The increase mainly reflects higher share-based compensation, including new grants to employees and service providers, increase in salaries and professional fees and currency impact, partially offset by lower marketing expenses.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the Company’s operating loss for the six months ended December 31, 2025, was $6,030,000 compared to an operating loss of $4,819,000 for the six months ended December 31,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financing income amounted to $609,000 for the six months ended December 31, 2025, mainly driven by interest income on short-term deposits. This compared to $219,000 other financing expenses for the six months ended December 31,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for the six months ended December 31, 2025, was $5,421,000, or $2.82 per ordinary share, compared to a GAAP net loss of $6,384,000, or $9.12 per ordinary share, in the six months ended December 31,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loss for the six months ended December 31, 2025, was $4,390,000 or $2.29 per ordinary share, compared to a non-GAAP net loss of $4,736,000, or $6.77 per ordinary share, in the six months ended December 31, 2024.</w:t>
            </w:r>
          </w:p>
        </w:tc>
      </w:tr>
    </w:tbl>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Rail Vision’s annual report on Form 20-F for the year ended December 31, 2025 has been filed with the U.S. Securities and Exchange Commission at </w:t>
      </w:r>
      <w:r>
        <w:rPr>
          <w:rFonts w:ascii="Times New Roman;Times;Serif" w:hAnsi="Times New Roman;Times;Serif"/>
          <w:b w:val="false"/>
          <w:i w:val="false"/>
          <w:caps w:val="false"/>
          <w:smallCaps w:val="false"/>
          <w:sz w:val="20"/>
          <w:u w:val="single"/>
        </w:rPr>
        <w:t>https://www.sec.gov/</w:t>
      </w:r>
      <w:r>
        <w:rPr>
          <w:rFonts w:ascii="Times New Roman;Times;Serif" w:hAnsi="Times New Roman;Times;Serif"/>
          <w:b w:val="false"/>
          <w:i w:val="false"/>
          <w:caps w:val="false"/>
          <w:smallCaps w:val="false"/>
          <w:sz w:val="20"/>
        </w:rPr>
        <w:t xml:space="preserve"> and posted on Rail Vision’s investor relations website at </w:t>
      </w:r>
      <w:r>
        <w:rPr>
          <w:rFonts w:ascii="Times New Roman;Times;Serif" w:hAnsi="Times New Roman;Times;Serif"/>
          <w:b w:val="false"/>
          <w:i w:val="false"/>
          <w:caps w:val="false"/>
          <w:smallCaps w:val="false"/>
          <w:sz w:val="20"/>
          <w:u w:val="single"/>
        </w:rPr>
        <w:t>https://ir.railvision.io/</w:t>
      </w:r>
      <w:r>
        <w:rPr>
          <w:rFonts w:ascii="Times New Roman;Times;Serif" w:hAnsi="Times New Roman;Times;Serif"/>
          <w:b w:val="false"/>
          <w:i w:val="false"/>
          <w:caps w:val="false"/>
          <w:smallCaps w:val="false"/>
          <w:sz w:val="20"/>
        </w:rPr>
        <w:t xml:space="preserve">. Rail Vision will deliver a hard copy of its annual report, including its complete audited consolidated financial statements, free of charge, to its shareholders upon request at </w:t>
      </w:r>
      <w:r>
        <w:rPr>
          <w:rFonts w:ascii="Times New Roman;Times;Serif" w:hAnsi="Times New Roman;Times;Serif"/>
          <w:b w:val="false"/>
          <w:i w:val="false"/>
          <w:caps w:val="false"/>
          <w:smallCaps w:val="false"/>
          <w:sz w:val="20"/>
          <w:u w:val="single"/>
        </w:rPr>
        <w:t>investors@railvision.io</w:t>
      </w:r>
      <w:r>
        <w:rPr>
          <w:rFonts w:ascii="Times New Roman;Times;Serif" w:hAnsi="Times New Roman;Times;Serif"/>
          <w:b w:val="false"/>
          <w:i w:val="false"/>
          <w:caps w:val="false"/>
          <w:smallCaps w:val="false"/>
          <w:sz w:val="20"/>
        </w:rPr>
        <w:t>.</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Results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disclosing financial results calculated in accordance with United States generally accepted accounting principles (GAAP), the Company’s earnings release contains non-GAAP financial measures of net loss for the period that excludes the effect of stock-based compensation expenses and revaluation of derivative warrant liabilities. The Company’s management believes the non-GAAP financial information provided in this release is useful to investors’ understanding and assessment of the Company’s on-going operations. Management also uses both GAAP and non-GAAP information in evaluating and operating business internally and as such deemed it important to provide all this information to investors. The non-GAAP financial measures disclosed by the Company should not be considered in isolation or as a substitute for, or superior to, financial measures calculated in accordance with GAAP, and the financial results calculated in accordance with GAAP and reconciliations to those financial statements should be carefully evaluated. Investors are encouraged to review the related U.S. GAAP financial measures and the reconciliation of these Non-GAAP financial measures to their most directly comparable U.S. GAAP financial measures and not rely on any single financial measure to evaluate the Company’s business. For more information on the non-GAAP financial measures, please see the “Reconciliation of GAAP to Non-GAAP Financial Measures” later in this release. This accompanying table has more details on the GAAP financial measures that are most directly comparable to non-GAAP financial measures and the related reconciliations between these financial measures.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Rail Vision Ltd.</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(Nasdaq: RVSN, FSE: C80) is an early commercialization stage technology company transforming railway safety through advanced AI-integrated sensing systems. The Company develops and commercializes proprietary, multi-spectral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holds a 51% stake in Quantum Transportation, which has an exclusive sub-license for rail technologies under an innovative pending patent in quantum error correction owned by Ramot, the technology transfer company of Tel Aviv University.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https://www.railvision.io/</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moving beyond hardware to a complete railway safety and analytics ecosystem.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for the fiscal year ended December 31, 2025, filed with the SEC on </w:t>
      </w:r>
      <w:r>
        <w:rPr>
          <w:rFonts w:ascii="Times New Roman;Times;Serif" w:hAnsi="Times New Roman;Times;Serif"/>
          <w:b w:val="false"/>
          <w:i w:val="false"/>
          <w:caps w:val="false"/>
          <w:smallCaps w:val="false"/>
          <w:sz w:val="20"/>
          <w:shd w:fill="FFFFFF" w:val="clear"/>
        </w:rPr>
        <w:t>March 31, 2026 and in subsequent filings with the SEC.</w:t>
      </w:r>
      <w:r>
        <w:rPr>
          <w:rFonts w:ascii="Times New Roman;Times;Serif" w:hAnsi="Times New Roman;Times;Serif"/>
          <w:b w:val="false"/>
          <w:i w:val="false"/>
          <w:caps w:val="false"/>
          <w:smallCaps w:val="false"/>
          <w:sz w:val="20"/>
        </w:rPr>
        <w:t xml:space="preserve">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BenDavid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Ha’Tidhar St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Ra’anana, 4366517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+972- 9-957-7706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Michal Efraty</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investors@railvision.io</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BALANCE SHEETS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hanging="0"/>
        <w:jc w:val="center"/>
        <w:rPr>
          <w:caps w:val="false"/>
          <w:smallCaps w:val="false"/>
        </w:rPr>
      </w:pPr>
      <w:r>
        <w:rPr>
          <w:caps w:val="false"/>
          <w:smallCaps w:val="false"/>
        </w:rPr>
        <w:t> </w:t>
      </w:r>
    </w:p>
    <w:tbl>
      <w:tblPr>
        <w:tblW w:w="7595" w:type="dxa"/>
        <w:jc w:val="left"/>
        <w:tblInd w:w="0" w:type="dxa"/>
        <w:tblLayout w:type="fixed"/>
        <w:tblCellMar>
          <w:top w:w="0" w:type="dxa"/>
          <w:left w:w="0" w:type="dxa"/>
          <w:bottom w:w="0" w:type="dxa"/>
          <w:right w:w="0" w:type="dxa"/>
        </w:tblCellMar>
      </w:tblPr>
      <w:tblGrid>
        <w:gridCol w:w="5315"/>
        <w:gridCol w:w="60"/>
        <w:gridCol w:w="140"/>
        <w:gridCol w:w="875"/>
        <w:gridCol w:w="95"/>
        <w:gridCol w:w="60"/>
        <w:gridCol w:w="140"/>
        <w:gridCol w:w="800"/>
        <w:gridCol w:w="110"/>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r>
      <w:tr>
        <w:trPr/>
        <w:tc>
          <w:tcPr>
            <w:tcW w:w="53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53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2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Audited</w:t>
            </w:r>
          </w:p>
        </w:tc>
      </w:tr>
      <w:tr>
        <w:trPr/>
        <w:tc>
          <w:tcPr>
            <w:tcW w:w="5315" w:type="dxa"/>
            <w:tcBorders/>
            <w:shd w:fill="CCEEFF" w:val="clear"/>
            <w:vAlign w:val="center"/>
          </w:tcPr>
          <w:p>
            <w:pPr>
              <w:pStyle w:val="TableContents"/>
              <w:bidi w:val="0"/>
              <w:spacing w:before="0" w:after="283"/>
              <w:jc w:val="both"/>
              <w:rPr>
                <w:b/>
                <w:u w:val="single"/>
              </w:rPr>
            </w:pPr>
            <w:r>
              <w:rPr>
                <w:b/>
                <w:u w:val="single"/>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19,957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17,238</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495</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1,304</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21,993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19,703</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Operating lease - right of 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582</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Fixed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312</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894</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22,543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20,597</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u w:val="single"/>
              </w:rPr>
            </w:pPr>
            <w:r>
              <w:rPr>
                <w:b/>
                <w:u w:val="single"/>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Trade accounts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Current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305</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Other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2,266</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2,678</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Non-current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217</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2,895</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Ordinary shares, no par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128,104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114,372</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(107,770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(96,670</w:t>
            </w:r>
          </w:p>
        </w:tc>
        <w:tc>
          <w:tcPr>
            <w:tcW w:w="110" w:type="dxa"/>
            <w:tcBorders/>
            <w:shd w:fill="CCEEFF" w:val="clear"/>
            <w:vAlign w:val="center"/>
          </w:tcPr>
          <w:p>
            <w:pPr>
              <w:pStyle w:val="TableContents"/>
              <w:bidi w:val="0"/>
              <w:spacing w:before="0" w:after="283"/>
              <w:jc w:val="left"/>
              <w:rPr/>
            </w:pPr>
            <w:r>
              <w:rPr/>
              <w:t>)</w:t>
            </w:r>
          </w:p>
        </w:tc>
      </w:tr>
      <w:tr>
        <w:trPr/>
        <w:tc>
          <w:tcPr>
            <w:tcW w:w="5315"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20,334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17,702</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22,543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20,597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8"/>
        <w:gridCol w:w="60"/>
        <w:gridCol w:w="150"/>
        <w:gridCol w:w="1050"/>
        <w:gridCol w:w="101"/>
        <w:gridCol w:w="64"/>
        <w:gridCol w:w="150"/>
        <w:gridCol w:w="857"/>
        <w:gridCol w:w="95"/>
        <w:gridCol w:w="60"/>
        <w:gridCol w:w="163"/>
        <w:gridCol w:w="1149"/>
        <w:gridCol w:w="111"/>
        <w:gridCol w:w="70"/>
        <w:gridCol w:w="163"/>
        <w:gridCol w:w="938"/>
        <w:gridCol w:w="116"/>
      </w:tblGrid>
      <w:tr>
        <w:trPr/>
        <w:tc>
          <w:tcPr>
            <w:tcW w:w="4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December 31,</w:t>
            </w:r>
          </w:p>
        </w:tc>
        <w:tc>
          <w:tcPr>
            <w:tcW w:w="116" w:type="dxa"/>
            <w:tcBorders/>
            <w:vAlign w:val="center"/>
          </w:tcPr>
          <w:p>
            <w:pPr>
              <w:pStyle w:val="TableContents"/>
              <w:bidi w:val="0"/>
              <w:spacing w:before="0" w:after="283"/>
              <w:jc w:val="left"/>
              <w:rPr/>
            </w:pPr>
            <w:r>
              <w:rPr/>
              <w:t> </w:t>
            </w:r>
          </w:p>
        </w:tc>
      </w:tr>
      <w:tr>
        <w:trPr/>
        <w:tc>
          <w:tcPr>
            <w:tcW w:w="4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6" w:type="dxa"/>
            <w:tcBorders/>
            <w:vAlign w:val="center"/>
          </w:tcPr>
          <w:p>
            <w:pPr>
              <w:pStyle w:val="TableContents"/>
              <w:bidi w:val="0"/>
              <w:spacing w:before="0" w:after="283"/>
              <w:jc w:val="left"/>
              <w:rPr/>
            </w:pPr>
            <w:r>
              <w:rPr/>
              <w:t> </w:t>
            </w:r>
          </w:p>
        </w:tc>
      </w:tr>
      <w:tr>
        <w:trPr/>
        <w:tc>
          <w:tcPr>
            <w:tcW w:w="4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6" w:type="dxa"/>
            <w:tcBorders/>
            <w:vAlign w:val="center"/>
          </w:tcPr>
          <w:p>
            <w:pPr>
              <w:pStyle w:val="TableContents"/>
              <w:bidi w:val="0"/>
              <w:spacing w:before="0" w:after="283"/>
              <w:jc w:val="left"/>
              <w:rPr/>
            </w:pPr>
            <w:r>
              <w:rPr/>
              <w:t> </w:t>
            </w:r>
          </w:p>
        </w:tc>
      </w:tr>
      <w:tr>
        <w:trPr/>
        <w:tc>
          <w:tcPr>
            <w:tcW w:w="4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01" w:type="dxa"/>
            <w:gridSpan w:val="2"/>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w:t>
            </w:r>
          </w:p>
        </w:tc>
        <w:tc>
          <w:tcPr>
            <w:tcW w:w="116" w:type="dxa"/>
            <w:tcBorders/>
            <w:shd w:fill="CCEEFF" w:val="cle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(935</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(6,864</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(3,623</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(2,821</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(2,911</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(2,059</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(11,735</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(6,030</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(4,819</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(expenses) income: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derivatives, warrants liabilities and others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financing income (expenses), net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for the period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(11,100</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(30,708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(5,421</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(6,384</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and diluted loss per share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 average number of shares outstanding used to compute basic and diluted loss per ordinary share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1,805,364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1,919,555</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699,497</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4" w:right="0" w:hanging="2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Retroactively adjusted to reflect a one-for-thirty (1-for-30) reverse share split of the Company’s ordinary shares effected on February 4, 2026.</w:t>
      </w:r>
    </w:p>
    <w:p>
      <w:pPr>
        <w:pStyle w:val="TextBody"/>
        <w:bidi w:val="0"/>
        <w:spacing w:before="0" w:after="0"/>
        <w:ind w:left="284" w:right="0" w:hanging="284"/>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84" w:right="0" w:hanging="284"/>
        <w:jc w:val="center"/>
        <w:rPr>
          <w:caps w:val="false"/>
          <w:smallCaps w:val="false"/>
        </w:rPr>
      </w:pPr>
      <w:r>
        <w:rPr>
          <w:caps w:val="false"/>
          <w:smallCaps w:val="false"/>
        </w:rPr>
        <w:t> </w:t>
      </w:r>
    </w:p>
    <w:p>
      <w:pPr>
        <w:pStyle w:val="TextBody"/>
        <w:bidi w:val="0"/>
        <w:spacing w:before="0" w:after="0"/>
        <w:ind w:left="284" w:right="0" w:hanging="284"/>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AUDITED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4"/>
        <w:gridCol w:w="60"/>
        <w:gridCol w:w="77"/>
        <w:gridCol w:w="1277"/>
        <w:gridCol w:w="61"/>
        <w:gridCol w:w="61"/>
        <w:gridCol w:w="61"/>
        <w:gridCol w:w="345"/>
        <w:gridCol w:w="95"/>
        <w:gridCol w:w="60"/>
        <w:gridCol w:w="82"/>
        <w:gridCol w:w="1117"/>
        <w:gridCol w:w="60"/>
        <w:gridCol w:w="60"/>
        <w:gridCol w:w="99"/>
        <w:gridCol w:w="1471"/>
        <w:gridCol w:w="95"/>
        <w:gridCol w:w="60"/>
        <w:gridCol w:w="117"/>
        <w:gridCol w:w="1475"/>
        <w:gridCol w:w="118"/>
      </w:tblGrid>
      <w:tr>
        <w:trPr/>
        <w:tc>
          <w:tcPr>
            <w:tcW w:w="3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2" w:type="dxa"/>
            <w:gridSpan w:val="2"/>
            <w:tcBorders/>
            <w:vAlign w:val="center"/>
          </w:tcPr>
          <w:p>
            <w:pPr>
              <w:pStyle w:val="TableContents"/>
              <w:bidi w:val="0"/>
              <w:spacing w:before="0" w:after="283"/>
              <w:jc w:val="center"/>
              <w:rPr>
                <w:b/>
              </w:rPr>
            </w:pPr>
            <w:r>
              <w:rPr>
                <w:b/>
              </w:rPr>
              <w:t>Total</w:t>
            </w:r>
          </w:p>
        </w:tc>
        <w:tc>
          <w:tcPr>
            <w:tcW w:w="118" w:type="dxa"/>
            <w:tcBorders/>
            <w:vAlign w:val="center"/>
          </w:tcPr>
          <w:p>
            <w:pPr>
              <w:pStyle w:val="TableContents"/>
              <w:bidi w:val="0"/>
              <w:spacing w:before="0" w:after="283"/>
              <w:jc w:val="left"/>
              <w:rPr/>
            </w:pPr>
            <w:r>
              <w:rPr/>
              <w:t> </w:t>
            </w:r>
          </w:p>
        </w:tc>
      </w:tr>
      <w:tr>
        <w:trPr/>
        <w:tc>
          <w:tcPr>
            <w:tcW w:w="3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0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 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shareholders’ equity</w:t>
            </w:r>
          </w:p>
        </w:tc>
        <w:tc>
          <w:tcPr>
            <w:tcW w:w="118" w:type="dxa"/>
            <w:tcBorders/>
            <w:vAlign w:val="center"/>
          </w:tcPr>
          <w:p>
            <w:pPr>
              <w:pStyle w:val="TableContents"/>
              <w:bidi w:val="0"/>
              <w:spacing w:before="0" w:after="283"/>
              <w:jc w:val="left"/>
              <w:rPr/>
            </w:pPr>
            <w:r>
              <w:rPr/>
              <w:t> </w:t>
            </w:r>
          </w:p>
        </w:tc>
      </w:tr>
      <w:tr>
        <w:trPr/>
        <w:tc>
          <w:tcPr>
            <w:tcW w:w="3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0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2"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JANUARY 1, 2024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99,904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2,787</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CHANGES DURING 2024: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Cancelation of the par value of ordinary shares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units of ordinary shares and pre-funded warrants, net of issuance costs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118,473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 to ordinary shares, net of issuance costs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558,616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25,561</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Classification of warrant liabilities to equity warrants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6,143</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SEPA set up fees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ordinary shares in relation to the SEPA</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470,553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12,117</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Share Units vesting</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(30,708</w:t>
            </w:r>
          </w:p>
        </w:tc>
        <w:tc>
          <w:tcPr>
            <w:tcW w:w="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1,264,757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17,702</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CHANGES DURING 2025: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 to ordinary shares, net of issuance costs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198,333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2,307</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ordinary shares in relation to the SEPA</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269,810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7,917</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ordinary shares in relation to the ATM, net of issuance costs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175,574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2,048</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Share Units vesting</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72,455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118" w:type="dxa"/>
            <w:tcBorders/>
            <w:shd w:fill="CCEEFF" w:val="clear"/>
            <w:vAlign w:val="center"/>
          </w:tcPr>
          <w:p>
            <w:pPr>
              <w:pStyle w:val="TableContents"/>
              <w:bidi w:val="0"/>
              <w:spacing w:before="0" w:after="283"/>
              <w:jc w:val="left"/>
              <w:rPr/>
            </w:pPr>
            <w:r>
              <w:rPr/>
              <w:t> </w:t>
            </w:r>
          </w:p>
        </w:tc>
      </w:tr>
      <w:tr>
        <w:trPr/>
        <w:tc>
          <w:tcPr>
            <w:tcW w:w="3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(11,100</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2,014,263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20,334</w:t>
            </w:r>
          </w:p>
        </w:tc>
        <w:tc>
          <w:tcPr>
            <w:tcW w:w="11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1"/>
        <w:gridCol w:w="9634"/>
      </w:tblGrid>
      <w:tr>
        <w:trPr/>
        <w:tc>
          <w:tcPr>
            <w:tcW w:w="5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Retroactively adjusted to reflect a one-for-thirty (1-for-30) reverse share split of the Company’s ordinary shares effected on February 4, 2026.</w:t>
            </w:r>
          </w:p>
        </w:tc>
      </w:tr>
      <w:tr>
        <w:trPr/>
        <w:tc>
          <w:tcPr>
            <w:tcW w:w="5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costs in the amount of approximately $39.</w:t>
            </w:r>
          </w:p>
        </w:tc>
      </w:tr>
      <w:tr>
        <w:trPr/>
        <w:tc>
          <w:tcPr>
            <w:tcW w:w="5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costs in the amount of approximately $252.</w:t>
            </w:r>
          </w:p>
        </w:tc>
      </w:tr>
      <w:tr>
        <w:trPr/>
        <w:tc>
          <w:tcPr>
            <w:tcW w:w="5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costs in the amount of approximately $121.</w:t>
            </w:r>
          </w:p>
        </w:tc>
      </w:tr>
      <w:tr>
        <w:trPr/>
        <w:tc>
          <w:tcPr>
            <w:tcW w:w="5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6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costs in the amount of approximately $136.</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7"/>
        <w:gridCol w:w="60"/>
        <w:gridCol w:w="170"/>
        <w:gridCol w:w="919"/>
        <w:gridCol w:w="168"/>
        <w:gridCol w:w="72"/>
        <w:gridCol w:w="170"/>
        <w:gridCol w:w="919"/>
        <w:gridCol w:w="95"/>
        <w:gridCol w:w="60"/>
        <w:gridCol w:w="186"/>
        <w:gridCol w:w="906"/>
        <w:gridCol w:w="126"/>
        <w:gridCol w:w="79"/>
        <w:gridCol w:w="186"/>
        <w:gridCol w:w="906"/>
        <w:gridCol w:w="116"/>
      </w:tblGrid>
      <w:tr>
        <w:trPr/>
        <w:tc>
          <w:tcPr>
            <w:tcW w:w="5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9"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December 31,</w:t>
            </w:r>
          </w:p>
        </w:tc>
        <w:tc>
          <w:tcPr>
            <w:tcW w:w="116" w:type="dxa"/>
            <w:tcBorders/>
            <w:vAlign w:val="center"/>
          </w:tcPr>
          <w:p>
            <w:pPr>
              <w:pStyle w:val="TableContents"/>
              <w:bidi w:val="0"/>
              <w:spacing w:before="0" w:after="283"/>
              <w:jc w:val="left"/>
              <w:rPr/>
            </w:pPr>
            <w:r>
              <w:rPr/>
              <w:t> </w:t>
            </w:r>
          </w:p>
        </w:tc>
      </w:tr>
      <w:tr>
        <w:trPr/>
        <w:tc>
          <w:tcPr>
            <w:tcW w:w="5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6" w:type="dxa"/>
            <w:tcBorders/>
            <w:vAlign w:val="center"/>
          </w:tcPr>
          <w:p>
            <w:pPr>
              <w:pStyle w:val="TableContents"/>
              <w:bidi w:val="0"/>
              <w:spacing w:before="0" w:after="283"/>
              <w:jc w:val="left"/>
              <w:rPr/>
            </w:pPr>
            <w:r>
              <w:rPr/>
              <w:t> </w:t>
            </w:r>
          </w:p>
        </w:tc>
      </w:tr>
      <w:tr>
        <w:trPr/>
        <w:tc>
          <w:tcPr>
            <w:tcW w:w="5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6" w:type="dxa"/>
            <w:tcBorders/>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period</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(11,100</w:t>
            </w:r>
          </w:p>
        </w:tc>
        <w:tc>
          <w:tcPr>
            <w:tcW w:w="1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(5,421</w:t>
            </w:r>
          </w:p>
        </w:tc>
        <w:tc>
          <w:tcPr>
            <w:tcW w:w="1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(6,384</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Adjustments to reconcile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1,460</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1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derivative warrant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a discount related to a convertible loan credit facility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 (increase) in accounts receivables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1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 (increase) in 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Inventories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operating lease liability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(decrease) in trade accounts payable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other accounts payable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1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1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rFonts w:ascii="Times New Roman;Times;Serif" w:hAnsi="Times New Roman;Times;Serif"/>
              </w:rPr>
              <w:t>(9,122</w:t>
            </w:r>
            <w:r>
              <w:rPr/>
              <w:t xml:space="preserve"> </w:t>
            </w:r>
          </w:p>
        </w:tc>
        <w:tc>
          <w:tcPr>
            <w:tcW w:w="168" w:type="dxa"/>
            <w:tcBorders/>
            <w:shd w:fill="FFFFFF" w:val="clear"/>
            <w:vAlign w:val="center"/>
          </w:tcPr>
          <w:p>
            <w:pPr>
              <w:pStyle w:val="TableContents"/>
              <w:bidi w:val="0"/>
              <w:spacing w:before="0" w:after="283"/>
              <w:jc w:val="left"/>
              <w:rPr/>
            </w:pPr>
            <w:r>
              <w:rPr/>
              <w:t xml:space="preserve">)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(4,461</w:t>
            </w:r>
          </w:p>
        </w:tc>
        <w:tc>
          <w:tcPr>
            <w:tcW w:w="1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(5,087</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fixed assets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1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1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a convertible loan credit facility and issuance of warrants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on convertible loan credit facility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warrants, net of issuance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2,204</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and warrants, net of issuance expenses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9,585</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2,030</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10,770</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11,789</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2,030</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12,644</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219</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2,761</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(2,455</w:t>
            </w:r>
          </w:p>
        </w:tc>
        <w:tc>
          <w:tcPr>
            <w:tcW w:w="12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7,562</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at the beginning of the period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17,468</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22,684</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20,229</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20,229</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17,468</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Non Cash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a convertible loan credit facility to ordinary shares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expenses recorded in other accounts payables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6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RECONCILIATION OF GAAP TO NON-GAAP RESULTS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dollars in thousands, except share data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8"/>
        <w:gridCol w:w="60"/>
        <w:gridCol w:w="150"/>
        <w:gridCol w:w="1050"/>
        <w:gridCol w:w="101"/>
        <w:gridCol w:w="64"/>
        <w:gridCol w:w="150"/>
        <w:gridCol w:w="857"/>
        <w:gridCol w:w="95"/>
        <w:gridCol w:w="60"/>
        <w:gridCol w:w="163"/>
        <w:gridCol w:w="1149"/>
        <w:gridCol w:w="111"/>
        <w:gridCol w:w="70"/>
        <w:gridCol w:w="163"/>
        <w:gridCol w:w="938"/>
        <w:gridCol w:w="116"/>
      </w:tblGrid>
      <w:tr>
        <w:trPr/>
        <w:tc>
          <w:tcPr>
            <w:tcW w:w="4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December 31,</w:t>
            </w:r>
          </w:p>
        </w:tc>
        <w:tc>
          <w:tcPr>
            <w:tcW w:w="116" w:type="dxa"/>
            <w:tcBorders/>
            <w:vAlign w:val="center"/>
          </w:tcPr>
          <w:p>
            <w:pPr>
              <w:pStyle w:val="TableContents"/>
              <w:bidi w:val="0"/>
              <w:spacing w:before="0" w:after="283"/>
              <w:jc w:val="left"/>
              <w:rPr/>
            </w:pPr>
            <w:r>
              <w:rPr/>
              <w:t> </w:t>
            </w:r>
          </w:p>
        </w:tc>
      </w:tr>
      <w:tr>
        <w:trPr/>
        <w:tc>
          <w:tcPr>
            <w:tcW w:w="4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6" w:type="dxa"/>
            <w:tcBorders/>
            <w:vAlign w:val="center"/>
          </w:tcPr>
          <w:p>
            <w:pPr>
              <w:pStyle w:val="TableContents"/>
              <w:bidi w:val="0"/>
              <w:spacing w:before="0" w:after="283"/>
              <w:jc w:val="left"/>
              <w:rPr/>
            </w:pPr>
            <w:r>
              <w:rPr/>
              <w:t> </w:t>
            </w:r>
          </w:p>
        </w:tc>
      </w:tr>
      <w:tr>
        <w:trPr/>
        <w:tc>
          <w:tcPr>
            <w:tcW w:w="4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01" w:type="dxa"/>
            <w:gridSpan w:val="2"/>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GAAP operating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(11,735</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(6,030</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(4,819</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in cost of revenues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in research and development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116" w:type="dxa"/>
            <w:tcBorders/>
            <w:shd w:fill="CCEEFF" w:val="cle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in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operating loss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(10,275</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(4,669</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GAAP Revaluation of derivatives and warrants liabilities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(20,181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derivative warrant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Revaluation of derivatives and warrants liabilities expenses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GAAP Other financing income (expenses),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Other financing income (expenses), net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GAAP net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(11,100</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(30,708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(5,421</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(6,384</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derivative warrant liability expenses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w:t>
            </w:r>
          </w:p>
        </w:tc>
        <w:tc>
          <w:tcPr>
            <w:tcW w:w="116" w:type="dxa"/>
            <w:tcBorders/>
            <w:shd w:fill="CCEEFF" w:val="cle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net loss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(9,260</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(4,390</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(4,736</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90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GAAP Basic and diluted loss per share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Basic and diluted loss per share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90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 average number of shares outstanding used to compute basic and diluted loss per ordinary share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1,805,364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1,919,555</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699,497</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Retroactively adjusted to reflect a one-for-thirty (1-for-30) reverse share split of the Company’s ordinary shares effected on February 4, 2026.</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3586</Words>
  <Characters>20161</Characters>
  <CharactersWithSpaces>24965</CharactersWithSpaces>
  <Paragraphs>2661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