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Rail Vision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15 Ha’Tidhar St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Ra’anana, 4366517 Israel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19, 2024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u w:val="single" w:color="auto"/>
          <w:color w:val="auto"/>
        </w:rPr>
        <w:t>VIA EDGAR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Rail Vision Ltd. (CIK 0001743905)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No. 333-278645 on Form F-3 (the “Registration Statement”)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Rail Vision Ltd.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acceleration of the effectiveness of the above-referenced Registration Statement pursuant to Rule 461 under the Securities Act of 1933, as amended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Securities Act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”), so that it may become effective on April 23, 2024, at 4:00 p.m., Eastern Time, or as soon thereafter as is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undersigned respectfully requests that it be notified of the effectiveness of the Registration Statement by telephone call to our counsel, Greenberg Traurig, P.A., by calling David Huberman at +1 312.364.1633. The Company hereby authorizes Mr. Huberman to orally modify or withdraw this request for acceleration.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RAIL VISION LTD.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Shahar Hania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4573905</wp:posOffset>
            </wp:positionH>
            <wp:positionV relativeFrom="paragraph">
              <wp:posOffset>17145</wp:posOffset>
            </wp:positionV>
            <wp:extent cx="256286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Shahar Hania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Chief Executive Officer</w:t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2024-05-21T23:09:53Z</dcterms:created>
  <dcterms:modified xsi:type="dcterms:W3CDTF">2024-05-21T23:09:53Z</dcterms:modified>
</cp:coreProperties>
</file>