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02584-20f_railvision.htm"/>
      <w:bookmarkStart w:id="1" w:name="ksea020258420f_railvision"/>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001-41334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Translation of registrant’s name into English:</w:t>
      </w:r>
      <w:r>
        <w:rPr>
          <w:rFonts w:ascii="Times New Roman;Times;Serif" w:hAnsi="Times New Roman;Times;Serif"/>
          <w:b w:val="false"/>
          <w:i w:val="false"/>
          <w:caps w:val="false"/>
          <w:smallCaps w:val="false"/>
          <w:sz w:val="20"/>
        </w:rPr>
        <w:t xml:space="preserve"> Not applicable</w:t>
      </w:r>
    </w:p>
    <w:p>
      <w:pPr>
        <w:pStyle w:val="TextBody"/>
        <w:bidi w:val="0"/>
        <w:spacing w:before="0" w:after="0"/>
        <w:ind w:left="0" w:right="0" w:hanging="0"/>
        <w:jc w:val="center"/>
        <w:rPr>
          <w:caps w:val="false"/>
          <w:smallCaps w:val="false"/>
        </w:rPr>
      </w:pPr>
      <w:r>
        <w:rPr>
          <w:caps w:val="false"/>
          <w:smallCaps w:val="false"/>
        </w:rPr>
        <w:t> </w:t>
      </w:r>
    </w:p>
    <w:tbl>
      <w:tblPr>
        <w:tblW w:w="7165" w:type="dxa"/>
        <w:jc w:val="left"/>
        <w:tblInd w:w="0" w:type="dxa"/>
        <w:tblLayout w:type="fixed"/>
        <w:tblCellMar>
          <w:top w:w="0" w:type="dxa"/>
          <w:left w:w="0" w:type="dxa"/>
          <w:bottom w:w="28" w:type="dxa"/>
          <w:right w:w="0" w:type="dxa"/>
        </w:tblCellMar>
      </w:tblPr>
      <w:tblGrid>
        <w:gridCol w:w="3890"/>
        <w:gridCol w:w="60"/>
        <w:gridCol w:w="3215"/>
      </w:tblGrid>
      <w:tr>
        <w:trPr/>
        <w:tc>
          <w:tcPr>
            <w:tcW w:w="389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Ha’Tidhar St</w:t>
              <w:br/>
              <w:t>Ra’anana, 4366517 Israel</w:t>
              <w:br/>
              <w:t>Tel: +972-9-957-7706</w:t>
            </w:r>
          </w:p>
        </w:tc>
      </w:tr>
      <w:tr>
        <w:trPr/>
        <w:tc>
          <w:tcPr>
            <w:tcW w:w="389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(Jurisdiction of 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Shahar Hania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Ha’Tidhar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Ra’anana, 4366517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+972-9-957-7706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marketing@railvision.io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75" w:type="dxa"/>
        <w:jc w:val="left"/>
        <w:tblInd w:w="0" w:type="dxa"/>
        <w:tblLayout w:type="fixed"/>
        <w:tblCellMar>
          <w:top w:w="0" w:type="dxa"/>
          <w:left w:w="0" w:type="dxa"/>
          <w:bottom w:w="28" w:type="dxa"/>
          <w:right w:w="0" w:type="dxa"/>
        </w:tblCellMar>
      </w:tblPr>
      <w:tblGrid>
        <w:gridCol w:w="4100"/>
        <w:gridCol w:w="60"/>
        <w:gridCol w:w="1610"/>
        <w:gridCol w:w="60"/>
        <w:gridCol w:w="3245"/>
      </w:tblGrid>
      <w:tr>
        <w:trPr/>
        <w:tc>
          <w:tcPr>
            <w:tcW w:w="4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 to be registered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each</w:t>
              <w:br/>
              <w:t>class is to be registered</w:t>
            </w:r>
          </w:p>
        </w:tc>
      </w:tr>
      <w:tr>
        <w:trPr/>
        <w:tc>
          <w:tcPr>
            <w:tcW w:w="41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no par value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RVSN</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r>
        <w:trPr/>
        <w:tc>
          <w:tcPr>
            <w:tcW w:w="4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ordinary shares, no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RVSNW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outstanding shares of each of the issuer’s classes of capital or common stock as of December 31, 2023: 2,998,278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Exchange Act of 1934. 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w:t>
      </w:r>
    </w:p>
    <w:p>
      <w:pPr>
        <w:pStyle w:val="TextBody"/>
        <w:bidi w:val="0"/>
        <w:spacing w:before="0" w:after="0"/>
        <w:ind w:left="0" w:right="0" w:firstLine="720"/>
        <w:jc w:val="both"/>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75"/>
        <w:gridCol w:w="2045"/>
        <w:gridCol w:w="60"/>
        <w:gridCol w:w="1580"/>
        <w:gridCol w:w="60"/>
        <w:gridCol w:w="252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 based compensation received by any of the registrant’s executive officers during the relevant recovery period pursuant to §240.10D-1(b).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145"/>
        <w:gridCol w:w="60"/>
        <w:gridCol w:w="3230"/>
        <w:gridCol w:w="60"/>
        <w:gridCol w:w="710"/>
      </w:tblGrid>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w:t>
              <w:br/>
              <w:t>Standards as issued by the International</w:t>
              <w:br/>
              <w:t>Accounting Standards Board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 Item 17    ☐ Item 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Yes ☐ No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845"/>
        <w:gridCol w:w="5960"/>
        <w:gridCol w:w="455"/>
      </w:tblGrid>
      <w:tr>
        <w:trPr/>
        <w:tc>
          <w:tcPr>
            <w:tcW w:w="84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805" w:type="dxa"/>
            <w:gridSpan w:val="2"/>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INTRODUCTION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6805" w:type="dxa"/>
            <w:gridSpan w:val="2"/>
            <w:tcBorders/>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EMERGING GROWTH COMPANY STATUS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6805" w:type="dxa"/>
            <w:gridSpan w:val="2"/>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r>
      <w:tr>
        <w:trPr/>
        <w:tc>
          <w:tcPr>
            <w:tcW w:w="6805" w:type="dxa"/>
            <w:gridSpan w:val="2"/>
            <w:tcBorders/>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MARKET, INDUSTRY, AND OTHER DATA</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r>
      <w:tr>
        <w:trPr/>
        <w:tc>
          <w:tcPr>
            <w:tcW w:w="680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805" w:type="dxa"/>
            <w:gridSpan w:val="2"/>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PART I</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4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59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ind w:left="0" w:right="0" w:hanging="180"/>
              <w:jc w:val="both"/>
              <w:rPr/>
            </w:pPr>
            <w:hyperlink w:anchor="a_007">
              <w:r>
                <w:rPr>
                  <w:rStyle w:val="InternetLink"/>
                  <w:rFonts w:ascii="Times New Roman;Times;Serif" w:hAnsi="Times New Roman;Times;Serif"/>
                  <w:b w:val="false"/>
                  <w:i w:val="false"/>
                  <w:caps w:val="false"/>
                  <w:smallCaps w:val="false"/>
                  <w:sz w:val="20"/>
                </w:rPr>
                <w:t>ITEM 1.</w:t>
              </w:r>
            </w:hyperlink>
          </w:p>
        </w:tc>
        <w:tc>
          <w:tcPr>
            <w:tcW w:w="5960" w:type="dxa"/>
            <w:tcBorders/>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45" w:type="dxa"/>
            <w:tcBorders/>
            <w:shd w:fill="CCEEFF" w:val="clear"/>
            <w:vAlign w:val="center"/>
          </w:tcPr>
          <w:p>
            <w:pPr>
              <w:pStyle w:val="TableContents"/>
              <w:bidi w:val="0"/>
              <w:spacing w:before="0" w:after="283"/>
              <w:ind w:left="0" w:right="0" w:hanging="180"/>
              <w:jc w:val="both"/>
              <w:rPr/>
            </w:pPr>
            <w:hyperlink w:anchor="a_008">
              <w:r>
                <w:rPr>
                  <w:rStyle w:val="InternetLink"/>
                  <w:rFonts w:ascii="Times New Roman;Times;Serif" w:hAnsi="Times New Roman;Times;Serif"/>
                  <w:b w:val="false"/>
                  <w:i w:val="false"/>
                  <w:caps w:val="false"/>
                  <w:smallCaps w:val="false"/>
                  <w:sz w:val="20"/>
                </w:rPr>
                <w:t>ITEM 2.</w:t>
              </w:r>
            </w:hyperlink>
          </w:p>
        </w:tc>
        <w:tc>
          <w:tcPr>
            <w:tcW w:w="5960"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OFFER STATISTICS AND EXPECTED TIMETABLE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45" w:type="dxa"/>
            <w:tcBorders/>
            <w:vAlign w:val="center"/>
          </w:tcPr>
          <w:p>
            <w:pPr>
              <w:pStyle w:val="TableContents"/>
              <w:bidi w:val="0"/>
              <w:spacing w:before="0" w:after="283"/>
              <w:ind w:left="0" w:right="0" w:hanging="180"/>
              <w:jc w:val="both"/>
              <w:rPr/>
            </w:pPr>
            <w:hyperlink w:anchor="a_009">
              <w:r>
                <w:rPr>
                  <w:rStyle w:val="InternetLink"/>
                  <w:rFonts w:ascii="Times New Roman;Times;Serif" w:hAnsi="Times New Roman;Times;Serif"/>
                  <w:b w:val="false"/>
                  <w:i w:val="false"/>
                  <w:caps w:val="false"/>
                  <w:smallCaps w:val="false"/>
                  <w:sz w:val="20"/>
                </w:rPr>
                <w:t>ITEM 3.</w:t>
              </w:r>
            </w:hyperlink>
          </w:p>
        </w:tc>
        <w:tc>
          <w:tcPr>
            <w:tcW w:w="5960" w:type="dxa"/>
            <w:tcBorders/>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KEY INFORMATION</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45" w:type="dxa"/>
            <w:tcBorders/>
            <w:shd w:fill="CCEEFF" w:val="clear"/>
            <w:vAlign w:val="center"/>
          </w:tcPr>
          <w:p>
            <w:pPr>
              <w:pStyle w:val="TableContents"/>
              <w:bidi w:val="0"/>
              <w:spacing w:before="0" w:after="283"/>
              <w:ind w:left="0" w:right="0" w:hanging="180"/>
              <w:jc w:val="both"/>
              <w:rPr/>
            </w:pPr>
            <w:hyperlink w:anchor="a_010">
              <w:r>
                <w:rPr>
                  <w:rStyle w:val="InternetLink"/>
                  <w:rFonts w:ascii="Times New Roman;Times;Serif" w:hAnsi="Times New Roman;Times;Serif"/>
                  <w:b w:val="false"/>
                  <w:i w:val="false"/>
                  <w:caps w:val="false"/>
                  <w:smallCaps w:val="false"/>
                  <w:sz w:val="20"/>
                </w:rPr>
                <w:t>A.</w:t>
              </w:r>
            </w:hyperlink>
          </w:p>
        </w:tc>
        <w:tc>
          <w:tcPr>
            <w:tcW w:w="5960"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[Reserved]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45" w:type="dxa"/>
            <w:tcBorders/>
            <w:vAlign w:val="center"/>
          </w:tcPr>
          <w:p>
            <w:pPr>
              <w:pStyle w:val="TableContents"/>
              <w:bidi w:val="0"/>
              <w:spacing w:before="0" w:after="283"/>
              <w:ind w:left="0" w:right="0" w:hanging="180"/>
              <w:jc w:val="both"/>
              <w:rPr/>
            </w:pPr>
            <w:hyperlink w:anchor="a_011">
              <w:r>
                <w:rPr>
                  <w:rStyle w:val="InternetLink"/>
                  <w:rFonts w:ascii="Times New Roman;Times;Serif" w:hAnsi="Times New Roman;Times;Serif"/>
                  <w:b w:val="false"/>
                  <w:i w:val="false"/>
                  <w:caps w:val="false"/>
                  <w:smallCaps w:val="false"/>
                  <w:sz w:val="20"/>
                </w:rPr>
                <w:t>B.</w:t>
              </w:r>
            </w:hyperlink>
          </w:p>
        </w:tc>
        <w:tc>
          <w:tcPr>
            <w:tcW w:w="5960" w:type="dxa"/>
            <w:tcBorders/>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Capitalization and Indebtedness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45" w:type="dxa"/>
            <w:tcBorders/>
            <w:shd w:fill="CCEEFF" w:val="clear"/>
            <w:vAlign w:val="center"/>
          </w:tcPr>
          <w:p>
            <w:pPr>
              <w:pStyle w:val="TableContents"/>
              <w:bidi w:val="0"/>
              <w:spacing w:before="0" w:after="283"/>
              <w:ind w:left="0" w:right="0" w:hanging="180"/>
              <w:jc w:val="both"/>
              <w:rPr/>
            </w:pPr>
            <w:hyperlink w:anchor="a_012">
              <w:r>
                <w:rPr>
                  <w:rStyle w:val="InternetLink"/>
                  <w:rFonts w:ascii="Times New Roman;Times;Serif" w:hAnsi="Times New Roman;Times;Serif"/>
                  <w:b w:val="false"/>
                  <w:i w:val="false"/>
                  <w:caps w:val="false"/>
                  <w:smallCaps w:val="false"/>
                  <w:sz w:val="20"/>
                </w:rPr>
                <w:t>C.</w:t>
              </w:r>
            </w:hyperlink>
          </w:p>
        </w:tc>
        <w:tc>
          <w:tcPr>
            <w:tcW w:w="5960"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Reasons for the Offer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45" w:type="dxa"/>
            <w:tcBorders/>
            <w:vAlign w:val="center"/>
          </w:tcPr>
          <w:p>
            <w:pPr>
              <w:pStyle w:val="TableContents"/>
              <w:bidi w:val="0"/>
              <w:spacing w:before="0" w:after="283"/>
              <w:ind w:left="0" w:right="0" w:hanging="180"/>
              <w:jc w:val="both"/>
              <w:rPr/>
            </w:pPr>
            <w:hyperlink w:anchor="a_013">
              <w:r>
                <w:rPr>
                  <w:rStyle w:val="InternetLink"/>
                  <w:rFonts w:ascii="Times New Roman;Times;Serif" w:hAnsi="Times New Roman;Times;Serif"/>
                  <w:b w:val="false"/>
                  <w:i w:val="false"/>
                  <w:caps w:val="false"/>
                  <w:smallCaps w:val="false"/>
                  <w:sz w:val="20"/>
                </w:rPr>
                <w:t>D.</w:t>
              </w:r>
            </w:hyperlink>
          </w:p>
        </w:tc>
        <w:tc>
          <w:tcPr>
            <w:tcW w:w="5960" w:type="dxa"/>
            <w:tcBorders/>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Risk Factors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45" w:type="dxa"/>
            <w:tcBorders/>
            <w:shd w:fill="CCEEFF" w:val="clear"/>
            <w:vAlign w:val="center"/>
          </w:tcPr>
          <w:p>
            <w:pPr>
              <w:pStyle w:val="TableContents"/>
              <w:bidi w:val="0"/>
              <w:spacing w:before="0" w:after="283"/>
              <w:ind w:left="0" w:right="0" w:hanging="180"/>
              <w:jc w:val="both"/>
              <w:rPr/>
            </w:pPr>
            <w:hyperlink w:anchor="a_014">
              <w:r>
                <w:rPr>
                  <w:rStyle w:val="InternetLink"/>
                  <w:rFonts w:ascii="Times New Roman;Times;Serif" w:hAnsi="Times New Roman;Times;Serif"/>
                  <w:b w:val="false"/>
                  <w:i w:val="false"/>
                  <w:caps w:val="false"/>
                  <w:smallCaps w:val="false"/>
                  <w:sz w:val="20"/>
                </w:rPr>
                <w:t>ITEM 4.</w:t>
              </w:r>
            </w:hyperlink>
          </w:p>
        </w:tc>
        <w:tc>
          <w:tcPr>
            <w:tcW w:w="5960"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INFORMATION ON THE COMPANY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845" w:type="dxa"/>
            <w:tcBorders/>
            <w:vAlign w:val="center"/>
          </w:tcPr>
          <w:p>
            <w:pPr>
              <w:pStyle w:val="TableContents"/>
              <w:bidi w:val="0"/>
              <w:spacing w:before="0" w:after="283"/>
              <w:ind w:left="0" w:right="0" w:hanging="180"/>
              <w:jc w:val="both"/>
              <w:rPr/>
            </w:pPr>
            <w:hyperlink w:anchor="a_015">
              <w:r>
                <w:rPr>
                  <w:rStyle w:val="InternetLink"/>
                  <w:rFonts w:ascii="Times New Roman;Times;Serif" w:hAnsi="Times New Roman;Times;Serif"/>
                  <w:b w:val="false"/>
                  <w:i w:val="false"/>
                  <w:caps w:val="false"/>
                  <w:smallCaps w:val="false"/>
                  <w:sz w:val="20"/>
                </w:rPr>
                <w:t>A.</w:t>
              </w:r>
            </w:hyperlink>
          </w:p>
        </w:tc>
        <w:tc>
          <w:tcPr>
            <w:tcW w:w="5960" w:type="dxa"/>
            <w:tcBorders/>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History and Development of the Company</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845" w:type="dxa"/>
            <w:tcBorders/>
            <w:shd w:fill="CCEEFF" w:val="clear"/>
            <w:vAlign w:val="center"/>
          </w:tcPr>
          <w:p>
            <w:pPr>
              <w:pStyle w:val="TableContents"/>
              <w:bidi w:val="0"/>
              <w:spacing w:before="0" w:after="283"/>
              <w:ind w:left="0" w:right="0" w:hanging="180"/>
              <w:jc w:val="both"/>
              <w:rPr/>
            </w:pPr>
            <w:hyperlink w:anchor="a_016">
              <w:r>
                <w:rPr>
                  <w:rStyle w:val="InternetLink"/>
                  <w:rFonts w:ascii="Times New Roman;Times;Serif" w:hAnsi="Times New Roman;Times;Serif"/>
                  <w:b w:val="false"/>
                  <w:i w:val="false"/>
                  <w:caps w:val="false"/>
                  <w:smallCaps w:val="false"/>
                  <w:sz w:val="20"/>
                </w:rPr>
                <w:t>B.</w:t>
              </w:r>
            </w:hyperlink>
          </w:p>
        </w:tc>
        <w:tc>
          <w:tcPr>
            <w:tcW w:w="5960"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Business Overview</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845" w:type="dxa"/>
            <w:tcBorders/>
            <w:vAlign w:val="center"/>
          </w:tcPr>
          <w:p>
            <w:pPr>
              <w:pStyle w:val="TableContents"/>
              <w:bidi w:val="0"/>
              <w:spacing w:before="0" w:after="283"/>
              <w:ind w:left="0" w:right="0" w:hanging="180"/>
              <w:jc w:val="both"/>
              <w:rPr/>
            </w:pPr>
            <w:hyperlink w:anchor="a_017">
              <w:r>
                <w:rPr>
                  <w:rStyle w:val="InternetLink"/>
                  <w:rFonts w:ascii="Times New Roman;Times;Serif" w:hAnsi="Times New Roman;Times;Serif"/>
                  <w:b w:val="false"/>
                  <w:i w:val="false"/>
                  <w:caps w:val="false"/>
                  <w:smallCaps w:val="false"/>
                  <w:sz w:val="20"/>
                </w:rPr>
                <w:t>C.</w:t>
              </w:r>
            </w:hyperlink>
          </w:p>
        </w:tc>
        <w:tc>
          <w:tcPr>
            <w:tcW w:w="5960" w:type="dxa"/>
            <w:tcBorders/>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Organizational Structure</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845" w:type="dxa"/>
            <w:tcBorders/>
            <w:shd w:fill="CCEEFF" w:val="clear"/>
            <w:vAlign w:val="center"/>
          </w:tcPr>
          <w:p>
            <w:pPr>
              <w:pStyle w:val="TableContents"/>
              <w:bidi w:val="0"/>
              <w:spacing w:before="0" w:after="283"/>
              <w:ind w:left="0" w:right="0" w:hanging="180"/>
              <w:jc w:val="both"/>
              <w:rPr/>
            </w:pPr>
            <w:hyperlink w:anchor="a_018">
              <w:r>
                <w:rPr>
                  <w:rStyle w:val="InternetLink"/>
                  <w:rFonts w:ascii="Times New Roman;Times;Serif" w:hAnsi="Times New Roman;Times;Serif"/>
                  <w:b w:val="false"/>
                  <w:i w:val="false"/>
                  <w:caps w:val="false"/>
                  <w:smallCaps w:val="false"/>
                  <w:sz w:val="20"/>
                </w:rPr>
                <w:t>D.</w:t>
              </w:r>
            </w:hyperlink>
          </w:p>
        </w:tc>
        <w:tc>
          <w:tcPr>
            <w:tcW w:w="5960"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Property, Plants and Equipment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845" w:type="dxa"/>
            <w:tcBorders/>
            <w:vAlign w:val="center"/>
          </w:tcPr>
          <w:p>
            <w:pPr>
              <w:pStyle w:val="TableContents"/>
              <w:bidi w:val="0"/>
              <w:spacing w:before="0" w:after="283"/>
              <w:ind w:left="0" w:right="0" w:hanging="180"/>
              <w:jc w:val="both"/>
              <w:rPr/>
            </w:pPr>
            <w:hyperlink w:anchor="a_019">
              <w:r>
                <w:rPr>
                  <w:rStyle w:val="InternetLink"/>
                  <w:rFonts w:ascii="Times New Roman;Times;Serif" w:hAnsi="Times New Roman;Times;Serif"/>
                  <w:b w:val="false"/>
                  <w:i w:val="false"/>
                  <w:caps w:val="false"/>
                  <w:smallCaps w:val="false"/>
                  <w:sz w:val="20"/>
                </w:rPr>
                <w:t>ITEM 4A.</w:t>
              </w:r>
            </w:hyperlink>
          </w:p>
        </w:tc>
        <w:tc>
          <w:tcPr>
            <w:tcW w:w="5960" w:type="dxa"/>
            <w:tcBorders/>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UNRESOLVED STAFF COMMENTS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845" w:type="dxa"/>
            <w:tcBorders/>
            <w:shd w:fill="CCEEFF" w:val="clear"/>
            <w:vAlign w:val="center"/>
          </w:tcPr>
          <w:p>
            <w:pPr>
              <w:pStyle w:val="TableContents"/>
              <w:bidi w:val="0"/>
              <w:spacing w:before="0" w:after="283"/>
              <w:ind w:left="0" w:right="0" w:hanging="180"/>
              <w:jc w:val="both"/>
              <w:rPr/>
            </w:pPr>
            <w:hyperlink w:anchor="a_020">
              <w:r>
                <w:rPr>
                  <w:rStyle w:val="InternetLink"/>
                  <w:rFonts w:ascii="Times New Roman;Times;Serif" w:hAnsi="Times New Roman;Times;Serif"/>
                  <w:b w:val="false"/>
                  <w:i w:val="false"/>
                  <w:caps w:val="false"/>
                  <w:smallCaps w:val="false"/>
                  <w:sz w:val="20"/>
                </w:rPr>
                <w:t>ITEM 5.</w:t>
              </w:r>
            </w:hyperlink>
          </w:p>
        </w:tc>
        <w:tc>
          <w:tcPr>
            <w:tcW w:w="5960" w:type="dxa"/>
            <w:tcBorders/>
            <w:shd w:fill="CCEEFF" w:val="clear"/>
            <w:vAlign w:val="center"/>
          </w:tcPr>
          <w:p>
            <w:pPr>
              <w:pStyle w:val="TableContents"/>
              <w:bidi w:val="0"/>
              <w:spacing w:before="0" w:after="283"/>
              <w:jc w:val="both"/>
              <w:rPr/>
            </w:pPr>
            <w:hyperlink w:anchor="a_020">
              <w:r>
                <w:rPr>
                  <w:rStyle w:val="InternetLink"/>
                  <w:rFonts w:ascii="Times New Roman;Times;Serif" w:hAnsi="Times New Roman;Times;Serif"/>
                  <w:b w:val="false"/>
                  <w:i w:val="false"/>
                  <w:caps w:val="false"/>
                  <w:smallCaps w:val="false"/>
                  <w:sz w:val="20"/>
                </w:rPr>
                <w:t>OPERATING AND FINANCIAL REVIEW AND PROSPECTS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845" w:type="dxa"/>
            <w:tcBorders/>
            <w:vAlign w:val="center"/>
          </w:tcPr>
          <w:p>
            <w:pPr>
              <w:pStyle w:val="TableContents"/>
              <w:bidi w:val="0"/>
              <w:spacing w:before="0" w:after="283"/>
              <w:ind w:left="0" w:right="0" w:hanging="180"/>
              <w:jc w:val="both"/>
              <w:rPr/>
            </w:pPr>
            <w:hyperlink w:anchor="a_021">
              <w:r>
                <w:rPr>
                  <w:rStyle w:val="InternetLink"/>
                  <w:rFonts w:ascii="Times New Roman;Times;Serif" w:hAnsi="Times New Roman;Times;Serif"/>
                  <w:b w:val="false"/>
                  <w:i w:val="false"/>
                  <w:caps w:val="false"/>
                  <w:smallCaps w:val="false"/>
                  <w:sz w:val="20"/>
                </w:rPr>
                <w:t>A.</w:t>
              </w:r>
            </w:hyperlink>
          </w:p>
        </w:tc>
        <w:tc>
          <w:tcPr>
            <w:tcW w:w="5960" w:type="dxa"/>
            <w:tcBorders/>
            <w:vAlign w:val="center"/>
          </w:tcPr>
          <w:p>
            <w:pPr>
              <w:pStyle w:val="TableContents"/>
              <w:bidi w:val="0"/>
              <w:spacing w:before="0" w:after="283"/>
              <w:jc w:val="both"/>
              <w:rPr/>
            </w:pPr>
            <w:hyperlink w:anchor="a_021">
              <w:r>
                <w:rPr>
                  <w:rStyle w:val="InternetLink"/>
                  <w:rFonts w:ascii="Times New Roman;Times;Serif" w:hAnsi="Times New Roman;Times;Serif"/>
                  <w:b w:val="false"/>
                  <w:i w:val="false"/>
                  <w:caps w:val="false"/>
                  <w:smallCaps w:val="false"/>
                  <w:sz w:val="20"/>
                </w:rPr>
                <w:t>Operating Results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845" w:type="dxa"/>
            <w:tcBorders/>
            <w:shd w:fill="CCEEFF" w:val="clear"/>
            <w:vAlign w:val="center"/>
          </w:tcPr>
          <w:p>
            <w:pPr>
              <w:pStyle w:val="TableContents"/>
              <w:bidi w:val="0"/>
              <w:spacing w:before="0" w:after="283"/>
              <w:ind w:left="0" w:right="0" w:hanging="180"/>
              <w:jc w:val="both"/>
              <w:rPr/>
            </w:pPr>
            <w:hyperlink w:anchor="a_022">
              <w:r>
                <w:rPr>
                  <w:rStyle w:val="InternetLink"/>
                  <w:rFonts w:ascii="Times New Roman;Times;Serif" w:hAnsi="Times New Roman;Times;Serif"/>
                  <w:b w:val="false"/>
                  <w:i w:val="false"/>
                  <w:caps w:val="false"/>
                  <w:smallCaps w:val="false"/>
                  <w:sz w:val="20"/>
                </w:rPr>
                <w:t>B.</w:t>
              </w:r>
            </w:hyperlink>
          </w:p>
        </w:tc>
        <w:tc>
          <w:tcPr>
            <w:tcW w:w="5960" w:type="dxa"/>
            <w:tcBorders/>
            <w:shd w:fill="CCEEFF" w:val="clear"/>
            <w:vAlign w:val="center"/>
          </w:tcPr>
          <w:p>
            <w:pPr>
              <w:pStyle w:val="TableContents"/>
              <w:bidi w:val="0"/>
              <w:spacing w:before="0" w:after="283"/>
              <w:jc w:val="both"/>
              <w:rPr/>
            </w:pPr>
            <w:hyperlink w:anchor="a_022">
              <w:r>
                <w:rPr>
                  <w:rStyle w:val="InternetLink"/>
                  <w:rFonts w:ascii="Times New Roman;Times;Serif" w:hAnsi="Times New Roman;Times;Serif"/>
                  <w:b w:val="false"/>
                  <w:i w:val="false"/>
                  <w:caps w:val="false"/>
                  <w:smallCaps w:val="false"/>
                  <w:sz w:val="20"/>
                </w:rPr>
                <w:t>Liquidity and Capital Resources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845" w:type="dxa"/>
            <w:tcBorders/>
            <w:vAlign w:val="center"/>
          </w:tcPr>
          <w:p>
            <w:pPr>
              <w:pStyle w:val="TableContents"/>
              <w:bidi w:val="0"/>
              <w:spacing w:before="0" w:after="283"/>
              <w:ind w:left="0" w:right="0" w:hanging="180"/>
              <w:jc w:val="both"/>
              <w:rPr/>
            </w:pPr>
            <w:hyperlink w:anchor="a_023">
              <w:r>
                <w:rPr>
                  <w:rStyle w:val="InternetLink"/>
                  <w:rFonts w:ascii="Times New Roman;Times;Serif" w:hAnsi="Times New Roman;Times;Serif"/>
                  <w:b w:val="false"/>
                  <w:i w:val="false"/>
                  <w:caps w:val="false"/>
                  <w:smallCaps w:val="false"/>
                  <w:sz w:val="20"/>
                </w:rPr>
                <w:t>C.</w:t>
              </w:r>
            </w:hyperlink>
          </w:p>
        </w:tc>
        <w:tc>
          <w:tcPr>
            <w:tcW w:w="5960" w:type="dxa"/>
            <w:tcBorders/>
            <w:vAlign w:val="center"/>
          </w:tcPr>
          <w:p>
            <w:pPr>
              <w:pStyle w:val="TableContents"/>
              <w:bidi w:val="0"/>
              <w:spacing w:before="0" w:after="283"/>
              <w:jc w:val="both"/>
              <w:rPr/>
            </w:pPr>
            <w:hyperlink w:anchor="a_023">
              <w:r>
                <w:rPr>
                  <w:rStyle w:val="InternetLink"/>
                  <w:rFonts w:ascii="Times New Roman;Times;Serif" w:hAnsi="Times New Roman;Times;Serif"/>
                  <w:b w:val="false"/>
                  <w:i w:val="false"/>
                  <w:caps w:val="false"/>
                  <w:smallCaps w:val="false"/>
                  <w:sz w:val="20"/>
                </w:rPr>
                <w:t>Research and Development, Patents and Licenses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845" w:type="dxa"/>
            <w:tcBorders/>
            <w:shd w:fill="CCEEFF" w:val="clear"/>
            <w:vAlign w:val="center"/>
          </w:tcPr>
          <w:p>
            <w:pPr>
              <w:pStyle w:val="TableContents"/>
              <w:bidi w:val="0"/>
              <w:spacing w:before="0" w:after="283"/>
              <w:ind w:left="0" w:right="0" w:hanging="180"/>
              <w:jc w:val="both"/>
              <w:rPr/>
            </w:pPr>
            <w:hyperlink w:anchor="a_024">
              <w:r>
                <w:rPr>
                  <w:rStyle w:val="InternetLink"/>
                  <w:rFonts w:ascii="Times New Roman;Times;Serif" w:hAnsi="Times New Roman;Times;Serif"/>
                  <w:b w:val="false"/>
                  <w:i w:val="false"/>
                  <w:caps w:val="false"/>
                  <w:smallCaps w:val="false"/>
                  <w:sz w:val="20"/>
                </w:rPr>
                <w:t>D.</w:t>
              </w:r>
            </w:hyperlink>
          </w:p>
        </w:tc>
        <w:tc>
          <w:tcPr>
            <w:tcW w:w="5960" w:type="dxa"/>
            <w:tcBorders/>
            <w:shd w:fill="CCEEFF" w:val="clear"/>
            <w:vAlign w:val="center"/>
          </w:tcPr>
          <w:p>
            <w:pPr>
              <w:pStyle w:val="TableContents"/>
              <w:bidi w:val="0"/>
              <w:spacing w:before="0" w:after="283"/>
              <w:jc w:val="both"/>
              <w:rPr/>
            </w:pPr>
            <w:hyperlink w:anchor="a_024">
              <w:r>
                <w:rPr>
                  <w:rStyle w:val="InternetLink"/>
                  <w:rFonts w:ascii="Times New Roman;Times;Serif" w:hAnsi="Times New Roman;Times;Serif"/>
                  <w:b w:val="false"/>
                  <w:i w:val="false"/>
                  <w:caps w:val="false"/>
                  <w:smallCaps w:val="false"/>
                  <w:sz w:val="20"/>
                </w:rPr>
                <w:t>Trend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845" w:type="dxa"/>
            <w:tcBorders/>
            <w:vAlign w:val="center"/>
          </w:tcPr>
          <w:p>
            <w:pPr>
              <w:pStyle w:val="TableContents"/>
              <w:bidi w:val="0"/>
              <w:spacing w:before="0" w:after="283"/>
              <w:ind w:left="0" w:right="0" w:hanging="180"/>
              <w:jc w:val="both"/>
              <w:rPr/>
            </w:pPr>
            <w:hyperlink w:anchor="a_025">
              <w:r>
                <w:rPr>
                  <w:rStyle w:val="InternetLink"/>
                  <w:rFonts w:ascii="Times New Roman;Times;Serif" w:hAnsi="Times New Roman;Times;Serif"/>
                  <w:b w:val="false"/>
                  <w:i w:val="false"/>
                  <w:caps w:val="false"/>
                  <w:smallCaps w:val="false"/>
                  <w:sz w:val="20"/>
                </w:rPr>
                <w:t>E.</w:t>
              </w:r>
            </w:hyperlink>
          </w:p>
        </w:tc>
        <w:tc>
          <w:tcPr>
            <w:tcW w:w="5960" w:type="dxa"/>
            <w:tcBorders/>
            <w:vAlign w:val="center"/>
          </w:tcPr>
          <w:p>
            <w:pPr>
              <w:pStyle w:val="TableContents"/>
              <w:bidi w:val="0"/>
              <w:spacing w:before="0" w:after="283"/>
              <w:jc w:val="left"/>
              <w:rPr/>
            </w:pPr>
            <w:hyperlink w:anchor="a_025">
              <w:r>
                <w:rPr>
                  <w:rStyle w:val="InternetLink"/>
                  <w:rFonts w:ascii="Times New Roman;Times;Serif" w:hAnsi="Times New Roman;Times;Serif"/>
                  <w:b w:val="false"/>
                  <w:i w:val="false"/>
                  <w:caps w:val="false"/>
                  <w:smallCaps w:val="false"/>
                  <w:sz w:val="20"/>
                </w:rPr>
                <w:t>Critical Accounting Estimates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845" w:type="dxa"/>
            <w:tcBorders/>
            <w:shd w:fill="CCEEFF" w:val="clear"/>
            <w:vAlign w:val="center"/>
          </w:tcPr>
          <w:p>
            <w:pPr>
              <w:pStyle w:val="TableContents"/>
              <w:bidi w:val="0"/>
              <w:spacing w:before="0" w:after="283"/>
              <w:ind w:left="0" w:right="0" w:hanging="180"/>
              <w:jc w:val="both"/>
              <w:rPr/>
            </w:pPr>
            <w:hyperlink w:anchor="a_026">
              <w:r>
                <w:rPr>
                  <w:rStyle w:val="InternetLink"/>
                  <w:rFonts w:ascii="Times New Roman;Times;Serif" w:hAnsi="Times New Roman;Times;Serif"/>
                  <w:b w:val="false"/>
                  <w:i w:val="false"/>
                  <w:caps w:val="false"/>
                  <w:smallCaps w:val="false"/>
                  <w:sz w:val="20"/>
                </w:rPr>
                <w:t>ITEM 6.</w:t>
              </w:r>
            </w:hyperlink>
          </w:p>
        </w:tc>
        <w:tc>
          <w:tcPr>
            <w:tcW w:w="5960" w:type="dxa"/>
            <w:tcBorders/>
            <w:shd w:fill="CCEEFF" w:val="clear"/>
            <w:vAlign w:val="center"/>
          </w:tcPr>
          <w:p>
            <w:pPr>
              <w:pStyle w:val="TableContents"/>
              <w:bidi w:val="0"/>
              <w:spacing w:before="0" w:after="283"/>
              <w:jc w:val="both"/>
              <w:rPr/>
            </w:pPr>
            <w:hyperlink w:anchor="a_026">
              <w:r>
                <w:rPr>
                  <w:rStyle w:val="InternetLink"/>
                  <w:rFonts w:ascii="Times New Roman;Times;Serif" w:hAnsi="Times New Roman;Times;Serif"/>
                  <w:b w:val="false"/>
                  <w:i w:val="false"/>
                  <w:caps w:val="false"/>
                  <w:smallCaps w:val="false"/>
                  <w:sz w:val="20"/>
                </w:rPr>
                <w:t>DIRECTORS, SENIOR MANAGEMENT AND EMPLOYEES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845" w:type="dxa"/>
            <w:tcBorders/>
            <w:vAlign w:val="center"/>
          </w:tcPr>
          <w:p>
            <w:pPr>
              <w:pStyle w:val="TableContents"/>
              <w:bidi w:val="0"/>
              <w:spacing w:before="0" w:after="283"/>
              <w:ind w:left="0" w:right="0" w:hanging="180"/>
              <w:jc w:val="both"/>
              <w:rPr/>
            </w:pPr>
            <w:hyperlink w:anchor="a_027">
              <w:r>
                <w:rPr>
                  <w:rStyle w:val="InternetLink"/>
                  <w:rFonts w:ascii="Times New Roman;Times;Serif" w:hAnsi="Times New Roman;Times;Serif"/>
                  <w:b w:val="false"/>
                  <w:i w:val="false"/>
                  <w:caps w:val="false"/>
                  <w:smallCaps w:val="false"/>
                  <w:sz w:val="20"/>
                </w:rPr>
                <w:t>A.</w:t>
              </w:r>
            </w:hyperlink>
          </w:p>
        </w:tc>
        <w:tc>
          <w:tcPr>
            <w:tcW w:w="5960" w:type="dxa"/>
            <w:tcBorders/>
            <w:vAlign w:val="center"/>
          </w:tcPr>
          <w:p>
            <w:pPr>
              <w:pStyle w:val="TableContents"/>
              <w:bidi w:val="0"/>
              <w:spacing w:before="0" w:after="283"/>
              <w:jc w:val="both"/>
              <w:rPr/>
            </w:pPr>
            <w:hyperlink w:anchor="a_027">
              <w:r>
                <w:rPr>
                  <w:rStyle w:val="InternetLink"/>
                  <w:rFonts w:ascii="Times New Roman;Times;Serif" w:hAnsi="Times New Roman;Times;Serif"/>
                  <w:b w:val="false"/>
                  <w:i w:val="false"/>
                  <w:caps w:val="false"/>
                  <w:smallCaps w:val="false"/>
                  <w:sz w:val="20"/>
                </w:rPr>
                <w:t>Directors and Senior Management</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845" w:type="dxa"/>
            <w:tcBorders/>
            <w:shd w:fill="CCEEFF" w:val="clear"/>
            <w:vAlign w:val="center"/>
          </w:tcPr>
          <w:p>
            <w:pPr>
              <w:pStyle w:val="TableContents"/>
              <w:bidi w:val="0"/>
              <w:spacing w:before="0" w:after="283"/>
              <w:ind w:left="0" w:right="0" w:hanging="180"/>
              <w:jc w:val="both"/>
              <w:rPr/>
            </w:pPr>
            <w:hyperlink w:anchor="a_028">
              <w:r>
                <w:rPr>
                  <w:rStyle w:val="InternetLink"/>
                  <w:rFonts w:ascii="Times New Roman;Times;Serif" w:hAnsi="Times New Roman;Times;Serif"/>
                  <w:b w:val="false"/>
                  <w:i w:val="false"/>
                  <w:caps w:val="false"/>
                  <w:smallCaps w:val="false"/>
                  <w:sz w:val="20"/>
                </w:rPr>
                <w:t>B.</w:t>
              </w:r>
            </w:hyperlink>
          </w:p>
        </w:tc>
        <w:tc>
          <w:tcPr>
            <w:tcW w:w="5960" w:type="dxa"/>
            <w:tcBorders/>
            <w:shd w:fill="CCEEFF" w:val="clear"/>
            <w:vAlign w:val="center"/>
          </w:tcPr>
          <w:p>
            <w:pPr>
              <w:pStyle w:val="TableContents"/>
              <w:bidi w:val="0"/>
              <w:spacing w:before="0" w:after="283"/>
              <w:jc w:val="both"/>
              <w:rPr/>
            </w:pPr>
            <w:hyperlink w:anchor="a_028">
              <w:r>
                <w:rPr>
                  <w:rStyle w:val="InternetLink"/>
                  <w:rFonts w:ascii="Times New Roman;Times;Serif" w:hAnsi="Times New Roman;Times;Serif"/>
                  <w:b w:val="false"/>
                  <w:i w:val="false"/>
                  <w:caps w:val="false"/>
                  <w:smallCaps w:val="false"/>
                  <w:sz w:val="20"/>
                </w:rPr>
                <w:t>Compensation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845" w:type="dxa"/>
            <w:tcBorders/>
            <w:vAlign w:val="center"/>
          </w:tcPr>
          <w:p>
            <w:pPr>
              <w:pStyle w:val="TableContents"/>
              <w:bidi w:val="0"/>
              <w:spacing w:before="0" w:after="283"/>
              <w:ind w:left="0" w:right="0" w:hanging="180"/>
              <w:jc w:val="both"/>
              <w:rPr/>
            </w:pPr>
            <w:hyperlink w:anchor="a_029">
              <w:r>
                <w:rPr>
                  <w:rStyle w:val="InternetLink"/>
                  <w:rFonts w:ascii="Times New Roman;Times;Serif" w:hAnsi="Times New Roman;Times;Serif"/>
                  <w:b w:val="false"/>
                  <w:i w:val="false"/>
                  <w:caps w:val="false"/>
                  <w:smallCaps w:val="false"/>
                  <w:sz w:val="20"/>
                </w:rPr>
                <w:t>C.</w:t>
              </w:r>
            </w:hyperlink>
          </w:p>
        </w:tc>
        <w:tc>
          <w:tcPr>
            <w:tcW w:w="5960" w:type="dxa"/>
            <w:tcBorders/>
            <w:vAlign w:val="center"/>
          </w:tcPr>
          <w:p>
            <w:pPr>
              <w:pStyle w:val="TableContents"/>
              <w:bidi w:val="0"/>
              <w:spacing w:before="0" w:after="283"/>
              <w:jc w:val="both"/>
              <w:rPr/>
            </w:pPr>
            <w:hyperlink w:anchor="a_029">
              <w:r>
                <w:rPr>
                  <w:rStyle w:val="InternetLink"/>
                  <w:rFonts w:ascii="Times New Roman;Times;Serif" w:hAnsi="Times New Roman;Times;Serif"/>
                  <w:b w:val="false"/>
                  <w:i w:val="false"/>
                  <w:caps w:val="false"/>
                  <w:smallCaps w:val="false"/>
                  <w:sz w:val="20"/>
                </w:rPr>
                <w:t>Board Practices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845" w:type="dxa"/>
            <w:tcBorders/>
            <w:shd w:fill="CCEEFF" w:val="clear"/>
            <w:vAlign w:val="center"/>
          </w:tcPr>
          <w:p>
            <w:pPr>
              <w:pStyle w:val="TableContents"/>
              <w:bidi w:val="0"/>
              <w:spacing w:before="0" w:after="283"/>
              <w:ind w:left="0" w:right="0" w:hanging="180"/>
              <w:jc w:val="both"/>
              <w:rPr/>
            </w:pPr>
            <w:hyperlink w:anchor="a_030">
              <w:r>
                <w:rPr>
                  <w:rStyle w:val="InternetLink"/>
                  <w:rFonts w:ascii="Times New Roman;Times;Serif" w:hAnsi="Times New Roman;Times;Serif"/>
                  <w:b w:val="false"/>
                  <w:i w:val="false"/>
                  <w:caps w:val="false"/>
                  <w:smallCaps w:val="false"/>
                  <w:sz w:val="20"/>
                </w:rPr>
                <w:t>D.</w:t>
              </w:r>
            </w:hyperlink>
          </w:p>
        </w:tc>
        <w:tc>
          <w:tcPr>
            <w:tcW w:w="5960" w:type="dxa"/>
            <w:tcBorders/>
            <w:shd w:fill="CCEEFF" w:val="clear"/>
            <w:vAlign w:val="center"/>
          </w:tcPr>
          <w:p>
            <w:pPr>
              <w:pStyle w:val="TableContents"/>
              <w:bidi w:val="0"/>
              <w:spacing w:before="0" w:after="283"/>
              <w:jc w:val="both"/>
              <w:rPr/>
            </w:pPr>
            <w:hyperlink w:anchor="a_030">
              <w:r>
                <w:rPr>
                  <w:rStyle w:val="InternetLink"/>
                  <w:rFonts w:ascii="Times New Roman;Times;Serif" w:hAnsi="Times New Roman;Times;Serif"/>
                  <w:b w:val="false"/>
                  <w:i w:val="false"/>
                  <w:caps w:val="false"/>
                  <w:smallCaps w:val="false"/>
                  <w:sz w:val="20"/>
                </w:rPr>
                <w:t>Employees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845" w:type="dxa"/>
            <w:tcBorders/>
            <w:vAlign w:val="center"/>
          </w:tcPr>
          <w:p>
            <w:pPr>
              <w:pStyle w:val="TableContents"/>
              <w:bidi w:val="0"/>
              <w:spacing w:before="0" w:after="283"/>
              <w:ind w:left="0" w:right="0" w:hanging="180"/>
              <w:jc w:val="both"/>
              <w:rPr/>
            </w:pPr>
            <w:hyperlink w:anchor="a_031">
              <w:r>
                <w:rPr>
                  <w:rStyle w:val="InternetLink"/>
                  <w:rFonts w:ascii="Times New Roman;Times;Serif" w:hAnsi="Times New Roman;Times;Serif"/>
                  <w:b w:val="false"/>
                  <w:i w:val="false"/>
                  <w:caps w:val="false"/>
                  <w:smallCaps w:val="false"/>
                  <w:sz w:val="20"/>
                </w:rPr>
                <w:t>E.</w:t>
              </w:r>
            </w:hyperlink>
          </w:p>
        </w:tc>
        <w:tc>
          <w:tcPr>
            <w:tcW w:w="5960" w:type="dxa"/>
            <w:tcBorders/>
            <w:vAlign w:val="center"/>
          </w:tcPr>
          <w:p>
            <w:pPr>
              <w:pStyle w:val="TableContents"/>
              <w:bidi w:val="0"/>
              <w:spacing w:before="0" w:after="283"/>
              <w:jc w:val="both"/>
              <w:rPr/>
            </w:pPr>
            <w:hyperlink w:anchor="a_031">
              <w:r>
                <w:rPr>
                  <w:rStyle w:val="InternetLink"/>
                  <w:rFonts w:ascii="Times New Roman;Times;Serif" w:hAnsi="Times New Roman;Times;Serif"/>
                  <w:b w:val="false"/>
                  <w:i w:val="false"/>
                  <w:caps w:val="false"/>
                  <w:smallCaps w:val="false"/>
                  <w:sz w:val="20"/>
                </w:rPr>
                <w:t>Share Ownership</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845" w:type="dxa"/>
            <w:tcBorders/>
            <w:shd w:fill="CCEEFF" w:val="clear"/>
            <w:vAlign w:val="center"/>
          </w:tcPr>
          <w:p>
            <w:pPr>
              <w:pStyle w:val="TableContents"/>
              <w:bidi w:val="0"/>
              <w:spacing w:before="0" w:after="283"/>
              <w:ind w:left="0" w:right="0" w:hanging="180"/>
              <w:jc w:val="both"/>
              <w:rPr/>
            </w:pPr>
            <w:hyperlink w:anchor="a_032">
              <w:r>
                <w:rPr>
                  <w:rStyle w:val="InternetLink"/>
                  <w:rFonts w:ascii="Times New Roman;Times;Serif" w:hAnsi="Times New Roman;Times;Serif"/>
                  <w:b w:val="false"/>
                  <w:i w:val="false"/>
                  <w:caps w:val="false"/>
                  <w:smallCaps w:val="false"/>
                  <w:sz w:val="20"/>
                </w:rPr>
                <w:t>ITEM 7.</w:t>
              </w:r>
            </w:hyperlink>
          </w:p>
        </w:tc>
        <w:tc>
          <w:tcPr>
            <w:tcW w:w="5960" w:type="dxa"/>
            <w:tcBorders/>
            <w:shd w:fill="CCEEFF" w:val="clear"/>
            <w:vAlign w:val="center"/>
          </w:tcPr>
          <w:p>
            <w:pPr>
              <w:pStyle w:val="TableContents"/>
              <w:bidi w:val="0"/>
              <w:spacing w:before="0" w:after="283"/>
              <w:jc w:val="both"/>
              <w:rPr/>
            </w:pPr>
            <w:hyperlink w:anchor="a_032">
              <w:r>
                <w:rPr>
                  <w:rStyle w:val="InternetLink"/>
                  <w:rFonts w:ascii="Times New Roman;Times;Serif" w:hAnsi="Times New Roman;Times;Serif"/>
                  <w:b w:val="false"/>
                  <w:i w:val="false"/>
                  <w:caps w:val="false"/>
                  <w:smallCaps w:val="false"/>
                  <w:sz w:val="20"/>
                </w:rPr>
                <w:t>MAJOR SHAREHOLDERS AND RELATED PARTY TRANSACTIONS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845" w:type="dxa"/>
            <w:tcBorders/>
            <w:vAlign w:val="center"/>
          </w:tcPr>
          <w:p>
            <w:pPr>
              <w:pStyle w:val="TableContents"/>
              <w:bidi w:val="0"/>
              <w:spacing w:before="0" w:after="283"/>
              <w:ind w:left="0" w:right="0" w:hanging="180"/>
              <w:jc w:val="both"/>
              <w:rPr/>
            </w:pPr>
            <w:hyperlink w:anchor="a_033">
              <w:r>
                <w:rPr>
                  <w:rStyle w:val="InternetLink"/>
                  <w:rFonts w:ascii="Times New Roman;Times;Serif" w:hAnsi="Times New Roman;Times;Serif"/>
                  <w:b w:val="false"/>
                  <w:i w:val="false"/>
                  <w:caps w:val="false"/>
                  <w:smallCaps w:val="false"/>
                  <w:sz w:val="20"/>
                </w:rPr>
                <w:t>A.</w:t>
              </w:r>
            </w:hyperlink>
          </w:p>
        </w:tc>
        <w:tc>
          <w:tcPr>
            <w:tcW w:w="5960" w:type="dxa"/>
            <w:tcBorders/>
            <w:vAlign w:val="center"/>
          </w:tcPr>
          <w:p>
            <w:pPr>
              <w:pStyle w:val="TableContents"/>
              <w:bidi w:val="0"/>
              <w:spacing w:before="0" w:after="283"/>
              <w:jc w:val="both"/>
              <w:rPr/>
            </w:pPr>
            <w:hyperlink w:anchor="a_033">
              <w:r>
                <w:rPr>
                  <w:rStyle w:val="InternetLink"/>
                  <w:rFonts w:ascii="Times New Roman;Times;Serif" w:hAnsi="Times New Roman;Times;Serif"/>
                  <w:b w:val="false"/>
                  <w:i w:val="false"/>
                  <w:caps w:val="false"/>
                  <w:smallCaps w:val="false"/>
                  <w:sz w:val="20"/>
                </w:rPr>
                <w:t>Major Shareholders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845" w:type="dxa"/>
            <w:tcBorders/>
            <w:shd w:fill="CCEEFF" w:val="clear"/>
            <w:vAlign w:val="center"/>
          </w:tcPr>
          <w:p>
            <w:pPr>
              <w:pStyle w:val="TableContents"/>
              <w:bidi w:val="0"/>
              <w:spacing w:before="0" w:after="283"/>
              <w:ind w:left="0" w:right="0" w:hanging="180"/>
              <w:jc w:val="both"/>
              <w:rPr/>
            </w:pPr>
            <w:hyperlink w:anchor="a_034">
              <w:r>
                <w:rPr>
                  <w:rStyle w:val="InternetLink"/>
                  <w:rFonts w:ascii="Times New Roman;Times;Serif" w:hAnsi="Times New Roman;Times;Serif"/>
                  <w:b w:val="false"/>
                  <w:i w:val="false"/>
                  <w:caps w:val="false"/>
                  <w:smallCaps w:val="false"/>
                  <w:sz w:val="20"/>
                </w:rPr>
                <w:t>B.</w:t>
              </w:r>
            </w:hyperlink>
          </w:p>
        </w:tc>
        <w:tc>
          <w:tcPr>
            <w:tcW w:w="5960" w:type="dxa"/>
            <w:tcBorders/>
            <w:shd w:fill="CCEEFF" w:val="clear"/>
            <w:vAlign w:val="center"/>
          </w:tcPr>
          <w:p>
            <w:pPr>
              <w:pStyle w:val="TableContents"/>
              <w:bidi w:val="0"/>
              <w:spacing w:before="0" w:after="283"/>
              <w:jc w:val="both"/>
              <w:rPr/>
            </w:pPr>
            <w:hyperlink w:anchor="a_034">
              <w:r>
                <w:rPr>
                  <w:rStyle w:val="InternetLink"/>
                  <w:rFonts w:ascii="Times New Roman;Times;Serif" w:hAnsi="Times New Roman;Times;Serif"/>
                  <w:b w:val="false"/>
                  <w:i w:val="false"/>
                  <w:caps w:val="false"/>
                  <w:smallCaps w:val="false"/>
                  <w:sz w:val="20"/>
                </w:rPr>
                <w:t>Related Party Transactions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845" w:type="dxa"/>
            <w:tcBorders/>
            <w:vAlign w:val="center"/>
          </w:tcPr>
          <w:p>
            <w:pPr>
              <w:pStyle w:val="TableContents"/>
              <w:bidi w:val="0"/>
              <w:spacing w:before="0" w:after="283"/>
              <w:ind w:left="0" w:right="0" w:hanging="180"/>
              <w:jc w:val="both"/>
              <w:rPr/>
            </w:pPr>
            <w:hyperlink w:anchor="a_035">
              <w:r>
                <w:rPr>
                  <w:rStyle w:val="InternetLink"/>
                  <w:rFonts w:ascii="Times New Roman;Times;Serif" w:hAnsi="Times New Roman;Times;Serif"/>
                  <w:b w:val="false"/>
                  <w:i w:val="false"/>
                  <w:caps w:val="false"/>
                  <w:smallCaps w:val="false"/>
                  <w:sz w:val="20"/>
                </w:rPr>
                <w:t>C.</w:t>
              </w:r>
            </w:hyperlink>
          </w:p>
        </w:tc>
        <w:tc>
          <w:tcPr>
            <w:tcW w:w="5960" w:type="dxa"/>
            <w:tcBorders/>
            <w:vAlign w:val="center"/>
          </w:tcPr>
          <w:p>
            <w:pPr>
              <w:pStyle w:val="TableContents"/>
              <w:bidi w:val="0"/>
              <w:spacing w:before="0" w:after="283"/>
              <w:jc w:val="both"/>
              <w:rPr/>
            </w:pPr>
            <w:hyperlink w:anchor="a_035">
              <w:r>
                <w:rPr>
                  <w:rStyle w:val="InternetLink"/>
                  <w:rFonts w:ascii="Times New Roman;Times;Serif" w:hAnsi="Times New Roman;Times;Serif"/>
                  <w:b w:val="false"/>
                  <w:i w:val="false"/>
                  <w:caps w:val="false"/>
                  <w:smallCaps w:val="false"/>
                  <w:sz w:val="20"/>
                </w:rPr>
                <w:t>Interests of Experts and Counsel</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845" w:type="dxa"/>
            <w:tcBorders/>
            <w:shd w:fill="CCEEFF" w:val="clear"/>
            <w:vAlign w:val="center"/>
          </w:tcPr>
          <w:p>
            <w:pPr>
              <w:pStyle w:val="TableContents"/>
              <w:bidi w:val="0"/>
              <w:spacing w:before="0" w:after="283"/>
              <w:ind w:left="0" w:right="0" w:hanging="180"/>
              <w:jc w:val="both"/>
              <w:rPr/>
            </w:pPr>
            <w:hyperlink w:anchor="a_036">
              <w:r>
                <w:rPr>
                  <w:rStyle w:val="InternetLink"/>
                  <w:rFonts w:ascii="Times New Roman;Times;Serif" w:hAnsi="Times New Roman;Times;Serif"/>
                  <w:b w:val="false"/>
                  <w:i w:val="false"/>
                  <w:caps w:val="false"/>
                  <w:smallCaps w:val="false"/>
                  <w:sz w:val="20"/>
                </w:rPr>
                <w:t>ITEM 8.</w:t>
              </w:r>
            </w:hyperlink>
          </w:p>
        </w:tc>
        <w:tc>
          <w:tcPr>
            <w:tcW w:w="5960" w:type="dxa"/>
            <w:tcBorders/>
            <w:shd w:fill="CCEEFF" w:val="clear"/>
            <w:vAlign w:val="center"/>
          </w:tcPr>
          <w:p>
            <w:pPr>
              <w:pStyle w:val="TableContents"/>
              <w:bidi w:val="0"/>
              <w:spacing w:before="0" w:after="283"/>
              <w:jc w:val="both"/>
              <w:rPr/>
            </w:pPr>
            <w:hyperlink w:anchor="a_036">
              <w:r>
                <w:rPr>
                  <w:rStyle w:val="InternetLink"/>
                  <w:rFonts w:ascii="Times New Roman;Times;Serif" w:hAnsi="Times New Roman;Times;Serif"/>
                  <w:b w:val="false"/>
                  <w:i w:val="false"/>
                  <w:caps w:val="false"/>
                  <w:smallCaps w:val="false"/>
                  <w:sz w:val="20"/>
                </w:rPr>
                <w:t>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845" w:type="dxa"/>
            <w:tcBorders/>
            <w:vAlign w:val="center"/>
          </w:tcPr>
          <w:p>
            <w:pPr>
              <w:pStyle w:val="TableContents"/>
              <w:bidi w:val="0"/>
              <w:spacing w:before="0" w:after="283"/>
              <w:ind w:left="0" w:right="0" w:hanging="180"/>
              <w:jc w:val="both"/>
              <w:rPr/>
            </w:pPr>
            <w:hyperlink w:anchor="a_037">
              <w:r>
                <w:rPr>
                  <w:rStyle w:val="InternetLink"/>
                  <w:rFonts w:ascii="Times New Roman;Times;Serif" w:hAnsi="Times New Roman;Times;Serif"/>
                  <w:b w:val="false"/>
                  <w:i w:val="false"/>
                  <w:caps w:val="false"/>
                  <w:smallCaps w:val="false"/>
                  <w:sz w:val="20"/>
                </w:rPr>
                <w:t>A.</w:t>
              </w:r>
            </w:hyperlink>
          </w:p>
        </w:tc>
        <w:tc>
          <w:tcPr>
            <w:tcW w:w="5960" w:type="dxa"/>
            <w:tcBorders/>
            <w:vAlign w:val="center"/>
          </w:tcPr>
          <w:p>
            <w:pPr>
              <w:pStyle w:val="TableContents"/>
              <w:bidi w:val="0"/>
              <w:spacing w:before="0" w:after="283"/>
              <w:jc w:val="both"/>
              <w:rPr/>
            </w:pPr>
            <w:hyperlink w:anchor="a_037">
              <w:r>
                <w:rPr>
                  <w:rStyle w:val="InternetLink"/>
                  <w:rFonts w:ascii="Times New Roman;Times;Serif" w:hAnsi="Times New Roman;Times;Serif"/>
                  <w:b w:val="false"/>
                  <w:i w:val="false"/>
                  <w:caps w:val="false"/>
                  <w:smallCaps w:val="false"/>
                  <w:sz w:val="20"/>
                </w:rPr>
                <w:t>Statements and Other Financial Information</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845" w:type="dxa"/>
            <w:tcBorders/>
            <w:shd w:fill="CCEEFF" w:val="clear"/>
            <w:vAlign w:val="center"/>
          </w:tcPr>
          <w:p>
            <w:pPr>
              <w:pStyle w:val="TableContents"/>
              <w:bidi w:val="0"/>
              <w:spacing w:before="0" w:after="283"/>
              <w:ind w:left="0" w:right="0" w:hanging="180"/>
              <w:jc w:val="both"/>
              <w:rPr/>
            </w:pPr>
            <w:hyperlink w:anchor="a_038">
              <w:r>
                <w:rPr>
                  <w:rStyle w:val="InternetLink"/>
                  <w:rFonts w:ascii="Times New Roman;Times;Serif" w:hAnsi="Times New Roman;Times;Serif"/>
                  <w:b w:val="false"/>
                  <w:i w:val="false"/>
                  <w:caps w:val="false"/>
                  <w:smallCaps w:val="false"/>
                  <w:sz w:val="20"/>
                </w:rPr>
                <w:t>B.</w:t>
              </w:r>
            </w:hyperlink>
          </w:p>
        </w:tc>
        <w:tc>
          <w:tcPr>
            <w:tcW w:w="5960" w:type="dxa"/>
            <w:tcBorders/>
            <w:shd w:fill="CCEEFF" w:val="clear"/>
            <w:vAlign w:val="center"/>
          </w:tcPr>
          <w:p>
            <w:pPr>
              <w:pStyle w:val="TableContents"/>
              <w:bidi w:val="0"/>
              <w:spacing w:before="0" w:after="283"/>
              <w:jc w:val="both"/>
              <w:rPr/>
            </w:pPr>
            <w:hyperlink w:anchor="a_038">
              <w:r>
                <w:rPr>
                  <w:rStyle w:val="InternetLink"/>
                  <w:rFonts w:ascii="Times New Roman;Times;Serif" w:hAnsi="Times New Roman;Times;Serif"/>
                  <w:b w:val="false"/>
                  <w:i w:val="false"/>
                  <w:caps w:val="false"/>
                  <w:smallCaps w:val="false"/>
                  <w:sz w:val="20"/>
                </w:rPr>
                <w:t>Significant Changes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4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LISTING</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45" w:type="dxa"/>
            <w:tcBorders/>
            <w:shd w:fill="CCEEFF" w:val="clear"/>
            <w:vAlign w:val="center"/>
          </w:tcPr>
          <w:p>
            <w:pPr>
              <w:pStyle w:val="TableContents"/>
              <w:bidi w:val="0"/>
              <w:spacing w:before="0" w:after="283"/>
              <w:ind w:left="0" w:right="0" w:hanging="180"/>
              <w:jc w:val="both"/>
              <w:rPr/>
            </w:pPr>
            <w:hyperlink w:anchor="a_039">
              <w:r>
                <w:rPr>
                  <w:rStyle w:val="InternetLink"/>
                  <w:rFonts w:ascii="Times New Roman;Times;Serif" w:hAnsi="Times New Roman;Times;Serif"/>
                  <w:b w:val="false"/>
                  <w:i w:val="false"/>
                  <w:caps w:val="false"/>
                  <w:smallCaps w:val="false"/>
                  <w:sz w:val="20"/>
                </w:rPr>
                <w:t>A.</w:t>
              </w:r>
            </w:hyperlink>
          </w:p>
        </w:tc>
        <w:tc>
          <w:tcPr>
            <w:tcW w:w="5960" w:type="dxa"/>
            <w:tcBorders/>
            <w:shd w:fill="CCEEFF" w:val="clear"/>
            <w:vAlign w:val="center"/>
          </w:tcPr>
          <w:p>
            <w:pPr>
              <w:pStyle w:val="TableContents"/>
              <w:bidi w:val="0"/>
              <w:spacing w:before="0" w:after="283"/>
              <w:jc w:val="both"/>
              <w:rPr/>
            </w:pPr>
            <w:hyperlink w:anchor="a_039">
              <w:r>
                <w:rPr>
                  <w:rStyle w:val="InternetLink"/>
                  <w:rFonts w:ascii="Times New Roman;Times;Serif" w:hAnsi="Times New Roman;Times;Serif"/>
                  <w:b w:val="false"/>
                  <w:i w:val="false"/>
                  <w:caps w:val="false"/>
                  <w:smallCaps w:val="false"/>
                  <w:sz w:val="20"/>
                </w:rPr>
                <w:t>Offer and Listing Details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45" w:type="dxa"/>
            <w:tcBorders/>
            <w:vAlign w:val="center"/>
          </w:tcPr>
          <w:p>
            <w:pPr>
              <w:pStyle w:val="TableContents"/>
              <w:bidi w:val="0"/>
              <w:spacing w:before="0" w:after="283"/>
              <w:ind w:left="0" w:right="0" w:hanging="180"/>
              <w:jc w:val="both"/>
              <w:rPr/>
            </w:pPr>
            <w:hyperlink w:anchor="a_040">
              <w:r>
                <w:rPr>
                  <w:rStyle w:val="InternetLink"/>
                  <w:rFonts w:ascii="Times New Roman;Times;Serif" w:hAnsi="Times New Roman;Times;Serif"/>
                  <w:b w:val="false"/>
                  <w:i w:val="false"/>
                  <w:caps w:val="false"/>
                  <w:smallCaps w:val="false"/>
                  <w:sz w:val="20"/>
                </w:rPr>
                <w:t>B.</w:t>
              </w:r>
            </w:hyperlink>
          </w:p>
        </w:tc>
        <w:tc>
          <w:tcPr>
            <w:tcW w:w="5960" w:type="dxa"/>
            <w:tcBorders/>
            <w:vAlign w:val="center"/>
          </w:tcPr>
          <w:p>
            <w:pPr>
              <w:pStyle w:val="TableContents"/>
              <w:bidi w:val="0"/>
              <w:spacing w:before="0" w:after="283"/>
              <w:jc w:val="both"/>
              <w:rPr/>
            </w:pPr>
            <w:hyperlink w:anchor="a_040">
              <w:r>
                <w:rPr>
                  <w:rStyle w:val="InternetLink"/>
                  <w:rFonts w:ascii="Times New Roman;Times;Serif" w:hAnsi="Times New Roman;Times;Serif"/>
                  <w:b w:val="false"/>
                  <w:i w:val="false"/>
                  <w:caps w:val="false"/>
                  <w:smallCaps w:val="false"/>
                  <w:sz w:val="20"/>
                </w:rPr>
                <w:t>Plan of Distribution</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45" w:type="dxa"/>
            <w:tcBorders/>
            <w:shd w:fill="CCEEFF" w:val="clear"/>
            <w:vAlign w:val="center"/>
          </w:tcPr>
          <w:p>
            <w:pPr>
              <w:pStyle w:val="TableContents"/>
              <w:bidi w:val="0"/>
              <w:spacing w:before="0" w:after="283"/>
              <w:ind w:left="0" w:right="0" w:hanging="180"/>
              <w:jc w:val="both"/>
              <w:rPr/>
            </w:pPr>
            <w:hyperlink w:anchor="a_041">
              <w:r>
                <w:rPr>
                  <w:rStyle w:val="InternetLink"/>
                  <w:rFonts w:ascii="Times New Roman;Times;Serif" w:hAnsi="Times New Roman;Times;Serif"/>
                  <w:b w:val="false"/>
                  <w:i w:val="false"/>
                  <w:caps w:val="false"/>
                  <w:smallCaps w:val="false"/>
                  <w:sz w:val="20"/>
                </w:rPr>
                <w:t>C.</w:t>
              </w:r>
            </w:hyperlink>
          </w:p>
        </w:tc>
        <w:tc>
          <w:tcPr>
            <w:tcW w:w="5960" w:type="dxa"/>
            <w:tcBorders/>
            <w:shd w:fill="CCEEFF" w:val="clear"/>
            <w:vAlign w:val="center"/>
          </w:tcPr>
          <w:p>
            <w:pPr>
              <w:pStyle w:val="TableContents"/>
              <w:bidi w:val="0"/>
              <w:spacing w:before="0" w:after="283"/>
              <w:jc w:val="both"/>
              <w:rPr/>
            </w:pPr>
            <w:hyperlink w:anchor="a_041">
              <w:r>
                <w:rPr>
                  <w:rStyle w:val="InternetLink"/>
                  <w:rFonts w:ascii="Times New Roman;Times;Serif" w:hAnsi="Times New Roman;Times;Serif"/>
                  <w:b w:val="false"/>
                  <w:i w:val="false"/>
                  <w:caps w:val="false"/>
                  <w:smallCaps w:val="false"/>
                  <w:sz w:val="20"/>
                </w:rPr>
                <w:t>Markets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45" w:type="dxa"/>
            <w:tcBorders/>
            <w:vAlign w:val="center"/>
          </w:tcPr>
          <w:p>
            <w:pPr>
              <w:pStyle w:val="TableContents"/>
              <w:bidi w:val="0"/>
              <w:spacing w:before="0" w:after="283"/>
              <w:ind w:left="0" w:right="0" w:hanging="180"/>
              <w:jc w:val="both"/>
              <w:rPr/>
            </w:pPr>
            <w:hyperlink w:anchor="a_042">
              <w:r>
                <w:rPr>
                  <w:rStyle w:val="InternetLink"/>
                  <w:rFonts w:ascii="Times New Roman;Times;Serif" w:hAnsi="Times New Roman;Times;Serif"/>
                  <w:b w:val="false"/>
                  <w:i w:val="false"/>
                  <w:caps w:val="false"/>
                  <w:smallCaps w:val="false"/>
                  <w:sz w:val="20"/>
                </w:rPr>
                <w:t>D.</w:t>
              </w:r>
            </w:hyperlink>
          </w:p>
        </w:tc>
        <w:tc>
          <w:tcPr>
            <w:tcW w:w="5960" w:type="dxa"/>
            <w:tcBorders/>
            <w:vAlign w:val="center"/>
          </w:tcPr>
          <w:p>
            <w:pPr>
              <w:pStyle w:val="TableContents"/>
              <w:bidi w:val="0"/>
              <w:spacing w:before="0" w:after="283"/>
              <w:jc w:val="both"/>
              <w:rPr/>
            </w:pPr>
            <w:hyperlink w:anchor="a_042">
              <w:r>
                <w:rPr>
                  <w:rStyle w:val="InternetLink"/>
                  <w:rFonts w:ascii="Times New Roman;Times;Serif" w:hAnsi="Times New Roman;Times;Serif"/>
                  <w:b w:val="false"/>
                  <w:i w:val="false"/>
                  <w:caps w:val="false"/>
                  <w:smallCaps w:val="false"/>
                  <w:sz w:val="20"/>
                </w:rPr>
                <w:t>Selling Shareholders</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45" w:type="dxa"/>
            <w:tcBorders/>
            <w:shd w:fill="CCEEFF" w:val="clear"/>
            <w:vAlign w:val="center"/>
          </w:tcPr>
          <w:p>
            <w:pPr>
              <w:pStyle w:val="TableContents"/>
              <w:bidi w:val="0"/>
              <w:spacing w:before="0" w:after="283"/>
              <w:ind w:left="0" w:right="0" w:hanging="180"/>
              <w:jc w:val="both"/>
              <w:rPr/>
            </w:pPr>
            <w:hyperlink w:anchor="a_043">
              <w:r>
                <w:rPr>
                  <w:rStyle w:val="InternetLink"/>
                  <w:rFonts w:ascii="Times New Roman;Times;Serif" w:hAnsi="Times New Roman;Times;Serif"/>
                  <w:b w:val="false"/>
                  <w:i w:val="false"/>
                  <w:caps w:val="false"/>
                  <w:smallCaps w:val="false"/>
                  <w:sz w:val="20"/>
                </w:rPr>
                <w:t>E.</w:t>
              </w:r>
            </w:hyperlink>
          </w:p>
        </w:tc>
        <w:tc>
          <w:tcPr>
            <w:tcW w:w="5960" w:type="dxa"/>
            <w:tcBorders/>
            <w:shd w:fill="CCEEFF" w:val="clear"/>
            <w:vAlign w:val="center"/>
          </w:tcPr>
          <w:p>
            <w:pPr>
              <w:pStyle w:val="TableContents"/>
              <w:bidi w:val="0"/>
              <w:spacing w:before="0" w:after="283"/>
              <w:jc w:val="both"/>
              <w:rPr/>
            </w:pPr>
            <w:hyperlink w:anchor="a_043">
              <w:r>
                <w:rPr>
                  <w:rStyle w:val="InternetLink"/>
                  <w:rFonts w:ascii="Times New Roman;Times;Serif" w:hAnsi="Times New Roman;Times;Serif"/>
                  <w:b w:val="false"/>
                  <w:i w:val="false"/>
                  <w:caps w:val="false"/>
                  <w:smallCaps w:val="false"/>
                  <w:sz w:val="20"/>
                </w:rPr>
                <w:t>Dilution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845" w:type="dxa"/>
            <w:tcBorders/>
            <w:vAlign w:val="center"/>
          </w:tcPr>
          <w:p>
            <w:pPr>
              <w:pStyle w:val="TableContents"/>
              <w:bidi w:val="0"/>
              <w:spacing w:before="0" w:after="283"/>
              <w:ind w:left="0" w:right="0" w:hanging="180"/>
              <w:jc w:val="both"/>
              <w:rPr/>
            </w:pPr>
            <w:hyperlink w:anchor="a_044">
              <w:r>
                <w:rPr>
                  <w:rStyle w:val="InternetLink"/>
                  <w:rFonts w:ascii="Times New Roman;Times;Serif" w:hAnsi="Times New Roman;Times;Serif"/>
                  <w:b w:val="false"/>
                  <w:i w:val="false"/>
                  <w:caps w:val="false"/>
                  <w:smallCaps w:val="false"/>
                  <w:sz w:val="20"/>
                </w:rPr>
                <w:t>F.</w:t>
              </w:r>
            </w:hyperlink>
          </w:p>
        </w:tc>
        <w:tc>
          <w:tcPr>
            <w:tcW w:w="5960" w:type="dxa"/>
            <w:tcBorders/>
            <w:vAlign w:val="center"/>
          </w:tcPr>
          <w:p>
            <w:pPr>
              <w:pStyle w:val="TableContents"/>
              <w:bidi w:val="0"/>
              <w:spacing w:before="0" w:after="283"/>
              <w:jc w:val="both"/>
              <w:rPr/>
            </w:pPr>
            <w:hyperlink w:anchor="a_044">
              <w:r>
                <w:rPr>
                  <w:rStyle w:val="InternetLink"/>
                  <w:rFonts w:ascii="Times New Roman;Times;Serif" w:hAnsi="Times New Roman;Times;Serif"/>
                  <w:b w:val="false"/>
                  <w:i w:val="false"/>
                  <w:caps w:val="false"/>
                  <w:smallCaps w:val="false"/>
                  <w:sz w:val="20"/>
                </w:rPr>
                <w:t>Expenses of the Issue</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00" w:type="dxa"/>
        <w:jc w:val="left"/>
        <w:tblInd w:w="0" w:type="dxa"/>
        <w:tblLayout w:type="fixed"/>
        <w:tblCellMar>
          <w:top w:w="0" w:type="dxa"/>
          <w:left w:w="0" w:type="dxa"/>
          <w:bottom w:w="0" w:type="dxa"/>
          <w:right w:w="0" w:type="dxa"/>
        </w:tblCellMar>
      </w:tblPr>
      <w:tblGrid>
        <w:gridCol w:w="950"/>
        <w:gridCol w:w="8405"/>
        <w:gridCol w:w="245"/>
      </w:tblGrid>
      <w:tr>
        <w:trPr/>
        <w:tc>
          <w:tcPr>
            <w:tcW w:w="950" w:type="dxa"/>
            <w:tcBorders/>
            <w:shd w:fill="CCEEFF" w:val="clear"/>
            <w:vAlign w:val="center"/>
          </w:tcPr>
          <w:p>
            <w:pPr>
              <w:pStyle w:val="TableContents"/>
              <w:bidi w:val="0"/>
              <w:spacing w:before="0" w:after="283"/>
              <w:ind w:left="0" w:right="0" w:hanging="180"/>
              <w:jc w:val="both"/>
              <w:rPr/>
            </w:pPr>
            <w:hyperlink w:anchor="a_045">
              <w:r>
                <w:rPr>
                  <w:rStyle w:val="InternetLink"/>
                  <w:rFonts w:ascii="Times New Roman;Times;Serif" w:hAnsi="Times New Roman;Times;Serif"/>
                  <w:b w:val="false"/>
                  <w:i w:val="false"/>
                  <w:caps w:val="false"/>
                  <w:smallCaps w:val="false"/>
                  <w:sz w:val="20"/>
                </w:rPr>
                <w:t>ITEM 10.</w:t>
              </w:r>
            </w:hyperlink>
          </w:p>
        </w:tc>
        <w:tc>
          <w:tcPr>
            <w:tcW w:w="8405" w:type="dxa"/>
            <w:tcBorders/>
            <w:shd w:fill="CCEEFF" w:val="clear"/>
            <w:vAlign w:val="center"/>
          </w:tcPr>
          <w:p>
            <w:pPr>
              <w:pStyle w:val="TableContents"/>
              <w:bidi w:val="0"/>
              <w:spacing w:before="0" w:after="283"/>
              <w:jc w:val="both"/>
              <w:rPr/>
            </w:pPr>
            <w:hyperlink w:anchor="a_045">
              <w:r>
                <w:rPr>
                  <w:rStyle w:val="InternetLink"/>
                  <w:rFonts w:ascii="Times New Roman;Times;Serif" w:hAnsi="Times New Roman;Times;Serif"/>
                  <w:b w:val="false"/>
                  <w:i w:val="false"/>
                  <w:caps w:val="false"/>
                  <w:smallCaps w:val="false"/>
                  <w:sz w:val="20"/>
                </w:rPr>
                <w:t>ADDITIONAL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50" w:type="dxa"/>
            <w:tcBorders/>
            <w:vAlign w:val="center"/>
          </w:tcPr>
          <w:p>
            <w:pPr>
              <w:pStyle w:val="TableContents"/>
              <w:bidi w:val="0"/>
              <w:spacing w:before="0" w:after="283"/>
              <w:ind w:left="0" w:right="0" w:hanging="180"/>
              <w:jc w:val="both"/>
              <w:rPr/>
            </w:pPr>
            <w:hyperlink w:anchor="a_046">
              <w:r>
                <w:rPr>
                  <w:rStyle w:val="InternetLink"/>
                  <w:rFonts w:ascii="Times New Roman;Times;Serif" w:hAnsi="Times New Roman;Times;Serif"/>
                  <w:b w:val="false"/>
                  <w:i w:val="false"/>
                  <w:caps w:val="false"/>
                  <w:smallCaps w:val="false"/>
                  <w:sz w:val="20"/>
                </w:rPr>
                <w:t>A.</w:t>
              </w:r>
            </w:hyperlink>
          </w:p>
        </w:tc>
        <w:tc>
          <w:tcPr>
            <w:tcW w:w="8405" w:type="dxa"/>
            <w:tcBorders/>
            <w:vAlign w:val="center"/>
          </w:tcPr>
          <w:p>
            <w:pPr>
              <w:pStyle w:val="TableContents"/>
              <w:bidi w:val="0"/>
              <w:spacing w:before="0" w:after="283"/>
              <w:jc w:val="both"/>
              <w:rPr/>
            </w:pPr>
            <w:hyperlink w:anchor="a_046">
              <w:r>
                <w:rPr>
                  <w:rStyle w:val="InternetLink"/>
                  <w:rFonts w:ascii="Times New Roman;Times;Serif" w:hAnsi="Times New Roman;Times;Serif"/>
                  <w:b w:val="false"/>
                  <w:i w:val="false"/>
                  <w:caps w:val="false"/>
                  <w:smallCaps w:val="false"/>
                  <w:sz w:val="20"/>
                </w:rPr>
                <w:t>Share Capital</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50" w:type="dxa"/>
            <w:tcBorders/>
            <w:shd w:fill="CCEEFF" w:val="clear"/>
            <w:vAlign w:val="center"/>
          </w:tcPr>
          <w:p>
            <w:pPr>
              <w:pStyle w:val="TableContents"/>
              <w:bidi w:val="0"/>
              <w:spacing w:before="0" w:after="283"/>
              <w:ind w:left="0" w:right="0" w:hanging="180"/>
              <w:jc w:val="both"/>
              <w:rPr/>
            </w:pPr>
            <w:hyperlink w:anchor="a_047">
              <w:r>
                <w:rPr>
                  <w:rStyle w:val="InternetLink"/>
                  <w:rFonts w:ascii="Times New Roman;Times;Serif" w:hAnsi="Times New Roman;Times;Serif"/>
                  <w:b w:val="false"/>
                  <w:i w:val="false"/>
                  <w:caps w:val="false"/>
                  <w:smallCaps w:val="false"/>
                  <w:sz w:val="20"/>
                </w:rPr>
                <w:t>B.</w:t>
              </w:r>
            </w:hyperlink>
          </w:p>
        </w:tc>
        <w:tc>
          <w:tcPr>
            <w:tcW w:w="8405" w:type="dxa"/>
            <w:tcBorders/>
            <w:shd w:fill="CCEEFF" w:val="clear"/>
            <w:vAlign w:val="center"/>
          </w:tcPr>
          <w:p>
            <w:pPr>
              <w:pStyle w:val="TableContents"/>
              <w:bidi w:val="0"/>
              <w:spacing w:before="0" w:after="283"/>
              <w:jc w:val="both"/>
              <w:rPr/>
            </w:pPr>
            <w:hyperlink w:anchor="a_047">
              <w:r>
                <w:rPr>
                  <w:rStyle w:val="InternetLink"/>
                  <w:rFonts w:ascii="Times New Roman;Times;Serif" w:hAnsi="Times New Roman;Times;Serif"/>
                  <w:b w:val="false"/>
                  <w:i w:val="false"/>
                  <w:caps w:val="false"/>
                  <w:smallCaps w:val="false"/>
                  <w:sz w:val="20"/>
                </w:rPr>
                <w:t>Articles of Association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50" w:type="dxa"/>
            <w:tcBorders/>
            <w:vAlign w:val="center"/>
          </w:tcPr>
          <w:p>
            <w:pPr>
              <w:pStyle w:val="TableContents"/>
              <w:bidi w:val="0"/>
              <w:spacing w:before="0" w:after="283"/>
              <w:ind w:left="0" w:right="0" w:hanging="180"/>
              <w:jc w:val="both"/>
              <w:rPr/>
            </w:pPr>
            <w:hyperlink w:anchor="a_048">
              <w:r>
                <w:rPr>
                  <w:rStyle w:val="InternetLink"/>
                  <w:rFonts w:ascii="Times New Roman;Times;Serif" w:hAnsi="Times New Roman;Times;Serif"/>
                  <w:b w:val="false"/>
                  <w:i w:val="false"/>
                  <w:caps w:val="false"/>
                  <w:smallCaps w:val="false"/>
                  <w:sz w:val="20"/>
                </w:rPr>
                <w:t>C.</w:t>
              </w:r>
            </w:hyperlink>
          </w:p>
        </w:tc>
        <w:tc>
          <w:tcPr>
            <w:tcW w:w="8405" w:type="dxa"/>
            <w:tcBorders/>
            <w:vAlign w:val="center"/>
          </w:tcPr>
          <w:p>
            <w:pPr>
              <w:pStyle w:val="TableContents"/>
              <w:bidi w:val="0"/>
              <w:spacing w:before="0" w:after="283"/>
              <w:jc w:val="both"/>
              <w:rPr/>
            </w:pPr>
            <w:hyperlink w:anchor="a_048">
              <w:r>
                <w:rPr>
                  <w:rStyle w:val="InternetLink"/>
                  <w:rFonts w:ascii="Times New Roman;Times;Serif" w:hAnsi="Times New Roman;Times;Serif"/>
                  <w:b w:val="false"/>
                  <w:i w:val="false"/>
                  <w:caps w:val="false"/>
                  <w:smallCaps w:val="false"/>
                  <w:sz w:val="20"/>
                </w:rPr>
                <w:t>Material Contracts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50" w:type="dxa"/>
            <w:tcBorders/>
            <w:shd w:fill="CCEEFF" w:val="clear"/>
            <w:vAlign w:val="center"/>
          </w:tcPr>
          <w:p>
            <w:pPr>
              <w:pStyle w:val="TableContents"/>
              <w:bidi w:val="0"/>
              <w:spacing w:before="0" w:after="283"/>
              <w:ind w:left="0" w:right="0" w:hanging="180"/>
              <w:jc w:val="both"/>
              <w:rPr/>
            </w:pPr>
            <w:hyperlink w:anchor="a_049">
              <w:r>
                <w:rPr>
                  <w:rStyle w:val="InternetLink"/>
                  <w:rFonts w:ascii="Times New Roman;Times;Serif" w:hAnsi="Times New Roman;Times;Serif"/>
                  <w:b w:val="false"/>
                  <w:i w:val="false"/>
                  <w:caps w:val="false"/>
                  <w:smallCaps w:val="false"/>
                  <w:sz w:val="20"/>
                </w:rPr>
                <w:t>D.</w:t>
              </w:r>
            </w:hyperlink>
          </w:p>
        </w:tc>
        <w:tc>
          <w:tcPr>
            <w:tcW w:w="8405" w:type="dxa"/>
            <w:tcBorders/>
            <w:shd w:fill="CCEEFF" w:val="clear"/>
            <w:vAlign w:val="center"/>
          </w:tcPr>
          <w:p>
            <w:pPr>
              <w:pStyle w:val="TableContents"/>
              <w:bidi w:val="0"/>
              <w:spacing w:before="0" w:after="283"/>
              <w:jc w:val="both"/>
              <w:rPr/>
            </w:pPr>
            <w:hyperlink w:anchor="a_049">
              <w:r>
                <w:rPr>
                  <w:rStyle w:val="InternetLink"/>
                  <w:rFonts w:ascii="Times New Roman;Times;Serif" w:hAnsi="Times New Roman;Times;Serif"/>
                  <w:b w:val="false"/>
                  <w:i w:val="false"/>
                  <w:caps w:val="false"/>
                  <w:smallCaps w:val="false"/>
                  <w:sz w:val="20"/>
                </w:rPr>
                <w:t>Exchange Controls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50" w:type="dxa"/>
            <w:tcBorders/>
            <w:vAlign w:val="center"/>
          </w:tcPr>
          <w:p>
            <w:pPr>
              <w:pStyle w:val="TableContents"/>
              <w:bidi w:val="0"/>
              <w:spacing w:before="0" w:after="283"/>
              <w:ind w:left="0" w:right="0" w:hanging="180"/>
              <w:jc w:val="both"/>
              <w:rPr/>
            </w:pPr>
            <w:hyperlink w:anchor="a_050">
              <w:r>
                <w:rPr>
                  <w:rStyle w:val="InternetLink"/>
                  <w:rFonts w:ascii="Times New Roman;Times;Serif" w:hAnsi="Times New Roman;Times;Serif"/>
                  <w:b w:val="false"/>
                  <w:i w:val="false"/>
                  <w:caps w:val="false"/>
                  <w:smallCaps w:val="false"/>
                  <w:sz w:val="20"/>
                </w:rPr>
                <w:t>E.</w:t>
              </w:r>
            </w:hyperlink>
          </w:p>
        </w:tc>
        <w:tc>
          <w:tcPr>
            <w:tcW w:w="8405" w:type="dxa"/>
            <w:tcBorders/>
            <w:vAlign w:val="center"/>
          </w:tcPr>
          <w:p>
            <w:pPr>
              <w:pStyle w:val="TableContents"/>
              <w:bidi w:val="0"/>
              <w:spacing w:before="0" w:after="283"/>
              <w:jc w:val="both"/>
              <w:rPr/>
            </w:pPr>
            <w:hyperlink w:anchor="a_050">
              <w:r>
                <w:rPr>
                  <w:rStyle w:val="InternetLink"/>
                  <w:rFonts w:ascii="Times New Roman;Times;Serif" w:hAnsi="Times New Roman;Times;Serif"/>
                  <w:b w:val="false"/>
                  <w:i w:val="false"/>
                  <w:caps w:val="false"/>
                  <w:smallCaps w:val="false"/>
                  <w:sz w:val="20"/>
                </w:rPr>
                <w:t>Taxation</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50" w:type="dxa"/>
            <w:tcBorders/>
            <w:shd w:fill="CCEEFF" w:val="clear"/>
            <w:vAlign w:val="center"/>
          </w:tcPr>
          <w:p>
            <w:pPr>
              <w:pStyle w:val="TableContents"/>
              <w:bidi w:val="0"/>
              <w:spacing w:before="0" w:after="283"/>
              <w:ind w:left="0" w:right="0" w:hanging="180"/>
              <w:jc w:val="both"/>
              <w:rPr/>
            </w:pPr>
            <w:hyperlink w:anchor="a_051">
              <w:r>
                <w:rPr>
                  <w:rStyle w:val="InternetLink"/>
                  <w:rFonts w:ascii="Times New Roman;Times;Serif" w:hAnsi="Times New Roman;Times;Serif"/>
                  <w:b w:val="false"/>
                  <w:i w:val="false"/>
                  <w:caps w:val="false"/>
                  <w:smallCaps w:val="false"/>
                  <w:sz w:val="20"/>
                </w:rPr>
                <w:t>F.</w:t>
              </w:r>
            </w:hyperlink>
          </w:p>
        </w:tc>
        <w:tc>
          <w:tcPr>
            <w:tcW w:w="8405" w:type="dxa"/>
            <w:tcBorders/>
            <w:shd w:fill="CCEEFF" w:val="clear"/>
            <w:vAlign w:val="center"/>
          </w:tcPr>
          <w:p>
            <w:pPr>
              <w:pStyle w:val="TableContents"/>
              <w:bidi w:val="0"/>
              <w:spacing w:before="0" w:after="283"/>
              <w:jc w:val="both"/>
              <w:rPr/>
            </w:pPr>
            <w:hyperlink w:anchor="a_051">
              <w:r>
                <w:rPr>
                  <w:rStyle w:val="InternetLink"/>
                  <w:rFonts w:ascii="Times New Roman;Times;Serif" w:hAnsi="Times New Roman;Times;Serif"/>
                  <w:b w:val="false"/>
                  <w:i w:val="false"/>
                  <w:caps w:val="false"/>
                  <w:smallCaps w:val="false"/>
                  <w:sz w:val="20"/>
                </w:rPr>
                <w:t>Dividends and Paying Agents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 w:type="dxa"/>
            <w:tcBorders/>
            <w:vAlign w:val="center"/>
          </w:tcPr>
          <w:p>
            <w:pPr>
              <w:pStyle w:val="TableContents"/>
              <w:bidi w:val="0"/>
              <w:spacing w:before="0" w:after="283"/>
              <w:ind w:left="0" w:right="0" w:hanging="180"/>
              <w:jc w:val="both"/>
              <w:rPr/>
            </w:pPr>
            <w:hyperlink w:anchor="a_052">
              <w:r>
                <w:rPr>
                  <w:rStyle w:val="InternetLink"/>
                  <w:rFonts w:ascii="Times New Roman;Times;Serif" w:hAnsi="Times New Roman;Times;Serif"/>
                  <w:b w:val="false"/>
                  <w:i w:val="false"/>
                  <w:caps w:val="false"/>
                  <w:smallCaps w:val="false"/>
                  <w:sz w:val="20"/>
                </w:rPr>
                <w:t>G.</w:t>
              </w:r>
            </w:hyperlink>
          </w:p>
        </w:tc>
        <w:tc>
          <w:tcPr>
            <w:tcW w:w="8405" w:type="dxa"/>
            <w:tcBorders/>
            <w:vAlign w:val="center"/>
          </w:tcPr>
          <w:p>
            <w:pPr>
              <w:pStyle w:val="TableContents"/>
              <w:bidi w:val="0"/>
              <w:spacing w:before="0" w:after="283"/>
              <w:jc w:val="both"/>
              <w:rPr/>
            </w:pPr>
            <w:hyperlink w:anchor="a_052">
              <w:r>
                <w:rPr>
                  <w:rStyle w:val="InternetLink"/>
                  <w:rFonts w:ascii="Times New Roman;Times;Serif" w:hAnsi="Times New Roman;Times;Serif"/>
                  <w:b w:val="false"/>
                  <w:i w:val="false"/>
                  <w:caps w:val="false"/>
                  <w:smallCaps w:val="false"/>
                  <w:sz w:val="20"/>
                </w:rPr>
                <w:t>Statement by Experts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 w:type="dxa"/>
            <w:tcBorders/>
            <w:shd w:fill="CCEEFF" w:val="clear"/>
            <w:vAlign w:val="center"/>
          </w:tcPr>
          <w:p>
            <w:pPr>
              <w:pStyle w:val="TableContents"/>
              <w:bidi w:val="0"/>
              <w:spacing w:before="0" w:after="283"/>
              <w:ind w:left="0" w:right="0" w:hanging="180"/>
              <w:jc w:val="both"/>
              <w:rPr/>
            </w:pPr>
            <w:hyperlink w:anchor="a_053">
              <w:r>
                <w:rPr>
                  <w:rStyle w:val="InternetLink"/>
                  <w:rFonts w:ascii="Times New Roman;Times;Serif" w:hAnsi="Times New Roman;Times;Serif"/>
                  <w:b w:val="false"/>
                  <w:i w:val="false"/>
                  <w:caps w:val="false"/>
                  <w:smallCaps w:val="false"/>
                  <w:sz w:val="20"/>
                </w:rPr>
                <w:t>H.</w:t>
              </w:r>
            </w:hyperlink>
          </w:p>
        </w:tc>
        <w:tc>
          <w:tcPr>
            <w:tcW w:w="8405" w:type="dxa"/>
            <w:tcBorders/>
            <w:shd w:fill="CCEEFF" w:val="clear"/>
            <w:vAlign w:val="center"/>
          </w:tcPr>
          <w:p>
            <w:pPr>
              <w:pStyle w:val="TableContents"/>
              <w:bidi w:val="0"/>
              <w:spacing w:before="0" w:after="283"/>
              <w:jc w:val="both"/>
              <w:rPr/>
            </w:pPr>
            <w:hyperlink w:anchor="a_053">
              <w:r>
                <w:rPr>
                  <w:rStyle w:val="InternetLink"/>
                  <w:rFonts w:ascii="Times New Roman;Times;Serif" w:hAnsi="Times New Roman;Times;Serif"/>
                  <w:b w:val="false"/>
                  <w:i w:val="false"/>
                  <w:caps w:val="false"/>
                  <w:smallCaps w:val="false"/>
                  <w:sz w:val="20"/>
                </w:rPr>
                <w:t>Documents on Display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 w:type="dxa"/>
            <w:tcBorders/>
            <w:vAlign w:val="center"/>
          </w:tcPr>
          <w:p>
            <w:pPr>
              <w:pStyle w:val="TableContents"/>
              <w:bidi w:val="0"/>
              <w:spacing w:before="0" w:after="283"/>
              <w:ind w:left="0" w:right="0" w:hanging="180"/>
              <w:jc w:val="both"/>
              <w:rPr/>
            </w:pPr>
            <w:hyperlink w:anchor="a_054">
              <w:r>
                <w:rPr>
                  <w:rStyle w:val="InternetLink"/>
                  <w:rFonts w:ascii="Times New Roman;Times;Serif" w:hAnsi="Times New Roman;Times;Serif"/>
                  <w:b w:val="false"/>
                  <w:i w:val="false"/>
                  <w:caps w:val="false"/>
                  <w:smallCaps w:val="false"/>
                  <w:sz w:val="20"/>
                </w:rPr>
                <w:t>I.</w:t>
              </w:r>
            </w:hyperlink>
          </w:p>
        </w:tc>
        <w:tc>
          <w:tcPr>
            <w:tcW w:w="8405" w:type="dxa"/>
            <w:tcBorders/>
            <w:vAlign w:val="center"/>
          </w:tcPr>
          <w:p>
            <w:pPr>
              <w:pStyle w:val="TableContents"/>
              <w:bidi w:val="0"/>
              <w:spacing w:before="0" w:after="283"/>
              <w:jc w:val="both"/>
              <w:rPr/>
            </w:pPr>
            <w:hyperlink w:anchor="a_054">
              <w:r>
                <w:rPr>
                  <w:rStyle w:val="InternetLink"/>
                  <w:rFonts w:ascii="Times New Roman;Times;Serif" w:hAnsi="Times New Roman;Times;Serif"/>
                  <w:b w:val="false"/>
                  <w:i w:val="false"/>
                  <w:caps w:val="false"/>
                  <w:smallCaps w:val="false"/>
                  <w:sz w:val="20"/>
                </w:rPr>
                <w:t>Subsidiary Information</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 w:type="dxa"/>
            <w:tcBorders/>
            <w:shd w:fill="CCEEFF" w:val="clear"/>
            <w:vAlign w:val="center"/>
          </w:tcPr>
          <w:p>
            <w:pPr>
              <w:pStyle w:val="TableContents"/>
              <w:bidi w:val="0"/>
              <w:spacing w:before="0" w:after="283"/>
              <w:ind w:left="0" w:right="0" w:hanging="180"/>
              <w:jc w:val="both"/>
              <w:rPr/>
            </w:pPr>
            <w:hyperlink w:anchor="a_055">
              <w:r>
                <w:rPr>
                  <w:rStyle w:val="InternetLink"/>
                  <w:rFonts w:ascii="Times New Roman;Times;Serif" w:hAnsi="Times New Roman;Times;Serif"/>
                  <w:b w:val="false"/>
                  <w:i w:val="false"/>
                  <w:caps w:val="false"/>
                  <w:smallCaps w:val="false"/>
                  <w:sz w:val="20"/>
                </w:rPr>
                <w:t>ITEM 11.</w:t>
              </w:r>
            </w:hyperlink>
          </w:p>
        </w:tc>
        <w:tc>
          <w:tcPr>
            <w:tcW w:w="8405" w:type="dxa"/>
            <w:tcBorders/>
            <w:shd w:fill="CCEEFF" w:val="clear"/>
            <w:vAlign w:val="center"/>
          </w:tcPr>
          <w:p>
            <w:pPr>
              <w:pStyle w:val="TableContents"/>
              <w:bidi w:val="0"/>
              <w:spacing w:before="0" w:after="283"/>
              <w:jc w:val="both"/>
              <w:rPr/>
            </w:pPr>
            <w:hyperlink w:anchor="a_055">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950" w:type="dxa"/>
            <w:tcBorders/>
            <w:vAlign w:val="center"/>
          </w:tcPr>
          <w:p>
            <w:pPr>
              <w:pStyle w:val="TableContents"/>
              <w:bidi w:val="0"/>
              <w:spacing w:before="0" w:after="283"/>
              <w:ind w:left="0" w:right="0" w:hanging="180"/>
              <w:jc w:val="both"/>
              <w:rPr/>
            </w:pPr>
            <w:hyperlink w:anchor="a_056">
              <w:r>
                <w:rPr>
                  <w:rStyle w:val="InternetLink"/>
                  <w:rFonts w:ascii="Times New Roman;Times;Serif" w:hAnsi="Times New Roman;Times;Serif"/>
                  <w:b w:val="false"/>
                  <w:i w:val="false"/>
                  <w:caps w:val="false"/>
                  <w:smallCaps w:val="false"/>
                  <w:sz w:val="20"/>
                </w:rPr>
                <w:t>ITEM 12.</w:t>
              </w:r>
            </w:hyperlink>
          </w:p>
        </w:tc>
        <w:tc>
          <w:tcPr>
            <w:tcW w:w="8405" w:type="dxa"/>
            <w:tcBorders/>
            <w:vAlign w:val="center"/>
          </w:tcPr>
          <w:p>
            <w:pPr>
              <w:pStyle w:val="TableContents"/>
              <w:bidi w:val="0"/>
              <w:spacing w:before="0" w:after="283"/>
              <w:jc w:val="both"/>
              <w:rPr/>
            </w:pPr>
            <w:hyperlink w:anchor="a_056">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 w:type="dxa"/>
            <w:tcBorders/>
            <w:shd w:fill="CCEEFF" w:val="clear"/>
            <w:vAlign w:val="center"/>
          </w:tcPr>
          <w:p>
            <w:pPr>
              <w:pStyle w:val="TableContents"/>
              <w:bidi w:val="0"/>
              <w:spacing w:before="0" w:after="283"/>
              <w:ind w:left="0" w:right="0" w:hanging="180"/>
              <w:jc w:val="both"/>
              <w:rPr/>
            </w:pPr>
            <w:hyperlink w:anchor="a_057">
              <w:r>
                <w:rPr>
                  <w:rStyle w:val="InternetLink"/>
                  <w:rFonts w:ascii="Times New Roman;Times;Serif" w:hAnsi="Times New Roman;Times;Serif"/>
                  <w:b w:val="false"/>
                  <w:i w:val="false"/>
                  <w:caps w:val="false"/>
                  <w:smallCaps w:val="false"/>
                  <w:sz w:val="20"/>
                </w:rPr>
                <w:t>A.</w:t>
              </w:r>
            </w:hyperlink>
          </w:p>
        </w:tc>
        <w:tc>
          <w:tcPr>
            <w:tcW w:w="8405" w:type="dxa"/>
            <w:tcBorders/>
            <w:shd w:fill="CCEEFF" w:val="clear"/>
            <w:vAlign w:val="center"/>
          </w:tcPr>
          <w:p>
            <w:pPr>
              <w:pStyle w:val="TableContents"/>
              <w:bidi w:val="0"/>
              <w:spacing w:before="0" w:after="283"/>
              <w:jc w:val="both"/>
              <w:rPr/>
            </w:pPr>
            <w:hyperlink w:anchor="a_057">
              <w:r>
                <w:rPr>
                  <w:rStyle w:val="InternetLink"/>
                  <w:rFonts w:ascii="Times New Roman;Times;Serif" w:hAnsi="Times New Roman;Times;Serif"/>
                  <w:b w:val="false"/>
                  <w:i w:val="false"/>
                  <w:caps w:val="false"/>
                  <w:smallCaps w:val="false"/>
                  <w:sz w:val="20"/>
                </w:rPr>
                <w:t>Debt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 w:type="dxa"/>
            <w:tcBorders/>
            <w:vAlign w:val="center"/>
          </w:tcPr>
          <w:p>
            <w:pPr>
              <w:pStyle w:val="TableContents"/>
              <w:bidi w:val="0"/>
              <w:spacing w:before="0" w:after="283"/>
              <w:ind w:left="0" w:right="0" w:hanging="180"/>
              <w:jc w:val="both"/>
              <w:rPr/>
            </w:pPr>
            <w:hyperlink w:anchor="a_058">
              <w:r>
                <w:rPr>
                  <w:rStyle w:val="InternetLink"/>
                  <w:rFonts w:ascii="Times New Roman;Times;Serif" w:hAnsi="Times New Roman;Times;Serif"/>
                  <w:b w:val="false"/>
                  <w:i w:val="false"/>
                  <w:caps w:val="false"/>
                  <w:smallCaps w:val="false"/>
                  <w:sz w:val="20"/>
                </w:rPr>
                <w:t>B.</w:t>
              </w:r>
            </w:hyperlink>
          </w:p>
        </w:tc>
        <w:tc>
          <w:tcPr>
            <w:tcW w:w="8405" w:type="dxa"/>
            <w:tcBorders/>
            <w:vAlign w:val="center"/>
          </w:tcPr>
          <w:p>
            <w:pPr>
              <w:pStyle w:val="TableContents"/>
              <w:bidi w:val="0"/>
              <w:spacing w:before="0" w:after="283"/>
              <w:jc w:val="both"/>
              <w:rPr/>
            </w:pPr>
            <w:hyperlink w:anchor="a_058">
              <w:r>
                <w:rPr>
                  <w:rStyle w:val="InternetLink"/>
                  <w:rFonts w:ascii="Times New Roman;Times;Serif" w:hAnsi="Times New Roman;Times;Serif"/>
                  <w:b w:val="false"/>
                  <w:i w:val="false"/>
                  <w:caps w:val="false"/>
                  <w:smallCaps w:val="false"/>
                  <w:sz w:val="20"/>
                </w:rPr>
                <w:t>Warrants and rights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 w:type="dxa"/>
            <w:tcBorders/>
            <w:shd w:fill="CCEEFF" w:val="clear"/>
            <w:vAlign w:val="center"/>
          </w:tcPr>
          <w:p>
            <w:pPr>
              <w:pStyle w:val="TableContents"/>
              <w:bidi w:val="0"/>
              <w:spacing w:before="0" w:after="283"/>
              <w:ind w:left="0" w:right="0" w:hanging="180"/>
              <w:jc w:val="both"/>
              <w:rPr/>
            </w:pPr>
            <w:hyperlink w:anchor="a_059">
              <w:r>
                <w:rPr>
                  <w:rStyle w:val="InternetLink"/>
                  <w:rFonts w:ascii="Times New Roman;Times;Serif" w:hAnsi="Times New Roman;Times;Serif"/>
                  <w:b w:val="false"/>
                  <w:i w:val="false"/>
                  <w:caps w:val="false"/>
                  <w:smallCaps w:val="false"/>
                  <w:sz w:val="20"/>
                </w:rPr>
                <w:t>C.</w:t>
              </w:r>
            </w:hyperlink>
          </w:p>
        </w:tc>
        <w:tc>
          <w:tcPr>
            <w:tcW w:w="8405" w:type="dxa"/>
            <w:tcBorders/>
            <w:shd w:fill="CCEEFF" w:val="clear"/>
            <w:vAlign w:val="center"/>
          </w:tcPr>
          <w:p>
            <w:pPr>
              <w:pStyle w:val="TableContents"/>
              <w:bidi w:val="0"/>
              <w:spacing w:before="0" w:after="283"/>
              <w:jc w:val="both"/>
              <w:rPr/>
            </w:pPr>
            <w:hyperlink w:anchor="a_059">
              <w:r>
                <w:rPr>
                  <w:rStyle w:val="InternetLink"/>
                  <w:rFonts w:ascii="Times New Roman;Times;Serif" w:hAnsi="Times New Roman;Times;Serif"/>
                  <w:b w:val="false"/>
                  <w:i w:val="false"/>
                  <w:caps w:val="false"/>
                  <w:smallCaps w:val="false"/>
                  <w:sz w:val="20"/>
                </w:rPr>
                <w:t>Other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 w:type="dxa"/>
            <w:tcBorders/>
            <w:vAlign w:val="center"/>
          </w:tcPr>
          <w:p>
            <w:pPr>
              <w:pStyle w:val="TableContents"/>
              <w:bidi w:val="0"/>
              <w:spacing w:before="0" w:after="283"/>
              <w:ind w:left="0" w:right="0" w:hanging="180"/>
              <w:jc w:val="both"/>
              <w:rPr/>
            </w:pPr>
            <w:hyperlink w:anchor="a_060">
              <w:r>
                <w:rPr>
                  <w:rStyle w:val="InternetLink"/>
                  <w:rFonts w:ascii="Times New Roman;Times;Serif" w:hAnsi="Times New Roman;Times;Serif"/>
                  <w:b w:val="false"/>
                  <w:i w:val="false"/>
                  <w:caps w:val="false"/>
                  <w:smallCaps w:val="false"/>
                  <w:sz w:val="20"/>
                </w:rPr>
                <w:t>D.</w:t>
              </w:r>
            </w:hyperlink>
          </w:p>
        </w:tc>
        <w:tc>
          <w:tcPr>
            <w:tcW w:w="8405" w:type="dxa"/>
            <w:tcBorders/>
            <w:vAlign w:val="center"/>
          </w:tcPr>
          <w:p>
            <w:pPr>
              <w:pStyle w:val="TableContents"/>
              <w:bidi w:val="0"/>
              <w:spacing w:before="0" w:after="283"/>
              <w:jc w:val="both"/>
              <w:rPr/>
            </w:pPr>
            <w:hyperlink w:anchor="a_060">
              <w:r>
                <w:rPr>
                  <w:rStyle w:val="InternetLink"/>
                  <w:rFonts w:ascii="Times New Roman;Times;Serif" w:hAnsi="Times New Roman;Times;Serif"/>
                  <w:b w:val="false"/>
                  <w:i w:val="false"/>
                  <w:caps w:val="false"/>
                  <w:smallCaps w:val="false"/>
                  <w:sz w:val="20"/>
                </w:rPr>
                <w:t>American Depositary Shares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95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4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55" w:type="dxa"/>
            <w:gridSpan w:val="2"/>
            <w:tcBorders/>
            <w:vAlign w:val="center"/>
          </w:tcPr>
          <w:p>
            <w:pPr>
              <w:pStyle w:val="TableContents"/>
              <w:bidi w:val="0"/>
              <w:spacing w:before="0" w:after="283"/>
              <w:jc w:val="left"/>
              <w:rPr/>
            </w:pPr>
            <w:hyperlink w:anchor="a_061">
              <w:r>
                <w:rPr>
                  <w:rStyle w:val="InternetLink"/>
                  <w:rFonts w:ascii="Times New Roman;Times;Serif" w:hAnsi="Times New Roman;Times;Serif"/>
                  <w:b w:val="false"/>
                  <w:i w:val="false"/>
                  <w:caps w:val="false"/>
                  <w:smallCaps w:val="false"/>
                  <w:sz w:val="20"/>
                </w:rPr>
                <w:t>PART II</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95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4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vAlign w:val="center"/>
          </w:tcPr>
          <w:p>
            <w:pPr>
              <w:pStyle w:val="TableContents"/>
              <w:bidi w:val="0"/>
              <w:spacing w:before="0" w:after="283"/>
              <w:ind w:left="0" w:right="0" w:hanging="180"/>
              <w:jc w:val="both"/>
              <w:rPr/>
            </w:pPr>
            <w:hyperlink w:anchor="a_062">
              <w:r>
                <w:rPr>
                  <w:rStyle w:val="InternetLink"/>
                  <w:rFonts w:ascii="Times New Roman;Times;Serif" w:hAnsi="Times New Roman;Times;Serif"/>
                  <w:b w:val="false"/>
                  <w:i w:val="false"/>
                  <w:caps w:val="false"/>
                  <w:smallCaps w:val="false"/>
                  <w:sz w:val="20"/>
                </w:rPr>
                <w:t>ITEM 13.</w:t>
              </w:r>
            </w:hyperlink>
          </w:p>
        </w:tc>
        <w:tc>
          <w:tcPr>
            <w:tcW w:w="8405" w:type="dxa"/>
            <w:tcBorders/>
            <w:vAlign w:val="center"/>
          </w:tcPr>
          <w:p>
            <w:pPr>
              <w:pStyle w:val="TableContents"/>
              <w:bidi w:val="0"/>
              <w:spacing w:before="0" w:after="283"/>
              <w:jc w:val="both"/>
              <w:rPr/>
            </w:pPr>
            <w:hyperlink w:anchor="a_062">
              <w:r>
                <w:rPr>
                  <w:rStyle w:val="InternetLink"/>
                  <w:rFonts w:ascii="Times New Roman;Times;Serif" w:hAnsi="Times New Roman;Times;Serif"/>
                  <w:b w:val="false"/>
                  <w:i w:val="false"/>
                  <w:caps w:val="false"/>
                  <w:smallCaps w:val="false"/>
                  <w:sz w:val="20"/>
                </w:rPr>
                <w:t>DEFAULTS, DIVIDEND ARREARAGES AND DELINQUENCIES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950" w:type="dxa"/>
            <w:tcBorders/>
            <w:shd w:fill="CCEEFF" w:val="clear"/>
            <w:vAlign w:val="center"/>
          </w:tcPr>
          <w:p>
            <w:pPr>
              <w:pStyle w:val="TableContents"/>
              <w:bidi w:val="0"/>
              <w:spacing w:before="0" w:after="283"/>
              <w:ind w:left="0" w:right="0" w:hanging="180"/>
              <w:jc w:val="both"/>
              <w:rPr/>
            </w:pPr>
            <w:hyperlink w:anchor="a_063">
              <w:r>
                <w:rPr>
                  <w:rStyle w:val="InternetLink"/>
                  <w:rFonts w:ascii="Times New Roman;Times;Serif" w:hAnsi="Times New Roman;Times;Serif"/>
                  <w:b w:val="false"/>
                  <w:i w:val="false"/>
                  <w:caps w:val="false"/>
                  <w:smallCaps w:val="false"/>
                  <w:sz w:val="20"/>
                </w:rPr>
                <w:t>ITEM 14.</w:t>
              </w:r>
            </w:hyperlink>
          </w:p>
        </w:tc>
        <w:tc>
          <w:tcPr>
            <w:tcW w:w="8405" w:type="dxa"/>
            <w:tcBorders/>
            <w:shd w:fill="CCEEFF" w:val="clear"/>
            <w:vAlign w:val="center"/>
          </w:tcPr>
          <w:p>
            <w:pPr>
              <w:pStyle w:val="TableContents"/>
              <w:bidi w:val="0"/>
              <w:spacing w:before="0" w:after="283"/>
              <w:jc w:val="both"/>
              <w:rPr/>
            </w:pPr>
            <w:hyperlink w:anchor="a_063">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950" w:type="dxa"/>
            <w:tcBorders/>
            <w:vAlign w:val="center"/>
          </w:tcPr>
          <w:p>
            <w:pPr>
              <w:pStyle w:val="TableContents"/>
              <w:bidi w:val="0"/>
              <w:spacing w:before="0" w:after="283"/>
              <w:ind w:left="0" w:right="0" w:hanging="180"/>
              <w:jc w:val="both"/>
              <w:rPr/>
            </w:pPr>
            <w:hyperlink w:anchor="a_064">
              <w:r>
                <w:rPr>
                  <w:rStyle w:val="InternetLink"/>
                  <w:rFonts w:ascii="Times New Roman;Times;Serif" w:hAnsi="Times New Roman;Times;Serif"/>
                  <w:b w:val="false"/>
                  <w:i w:val="false"/>
                  <w:caps w:val="false"/>
                  <w:smallCaps w:val="false"/>
                  <w:sz w:val="20"/>
                </w:rPr>
                <w:t>ITEM 15.</w:t>
              </w:r>
            </w:hyperlink>
          </w:p>
        </w:tc>
        <w:tc>
          <w:tcPr>
            <w:tcW w:w="8405" w:type="dxa"/>
            <w:tcBorders/>
            <w:vAlign w:val="center"/>
          </w:tcPr>
          <w:p>
            <w:pPr>
              <w:pStyle w:val="TableContents"/>
              <w:bidi w:val="0"/>
              <w:spacing w:before="0" w:after="283"/>
              <w:jc w:val="both"/>
              <w:rPr/>
            </w:pPr>
            <w:hyperlink w:anchor="a_064">
              <w:r>
                <w:rPr>
                  <w:rStyle w:val="InternetLink"/>
                  <w:rFonts w:ascii="Times New Roman;Times;Serif" w:hAnsi="Times New Roman;Times;Serif"/>
                  <w:b w:val="false"/>
                  <w:i w:val="false"/>
                  <w:caps w:val="false"/>
                  <w:smallCaps w:val="false"/>
                  <w:sz w:val="20"/>
                </w:rPr>
                <w:t>CONTROLS AND PROCEDURES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950" w:type="dxa"/>
            <w:tcBorders/>
            <w:shd w:fill="CCEEFF" w:val="clear"/>
            <w:vAlign w:val="center"/>
          </w:tcPr>
          <w:p>
            <w:pPr>
              <w:pStyle w:val="TableContents"/>
              <w:bidi w:val="0"/>
              <w:spacing w:before="0" w:after="283"/>
              <w:ind w:left="0" w:right="0" w:hanging="180"/>
              <w:jc w:val="both"/>
              <w:rPr/>
            </w:pPr>
            <w:hyperlink w:anchor="a_065">
              <w:r>
                <w:rPr>
                  <w:rStyle w:val="InternetLink"/>
                  <w:rFonts w:ascii="Times New Roman;Times;Serif" w:hAnsi="Times New Roman;Times;Serif"/>
                  <w:b w:val="false"/>
                  <w:i w:val="false"/>
                  <w:caps w:val="false"/>
                  <w:smallCaps w:val="false"/>
                  <w:sz w:val="20"/>
                </w:rPr>
                <w:t>ITEM 16.</w:t>
              </w:r>
            </w:hyperlink>
          </w:p>
        </w:tc>
        <w:tc>
          <w:tcPr>
            <w:tcW w:w="8405" w:type="dxa"/>
            <w:tcBorders/>
            <w:shd w:fill="CCEEFF" w:val="clear"/>
            <w:vAlign w:val="center"/>
          </w:tcPr>
          <w:p>
            <w:pPr>
              <w:pStyle w:val="TableContents"/>
              <w:bidi w:val="0"/>
              <w:spacing w:before="0" w:after="283"/>
              <w:jc w:val="both"/>
              <w:rPr/>
            </w:pPr>
            <w:hyperlink w:anchor="a_065">
              <w:r>
                <w:rPr>
                  <w:rStyle w:val="InternetLink"/>
                  <w:rFonts w:ascii="Times New Roman;Times;Serif" w:hAnsi="Times New Roman;Times;Serif"/>
                  <w:b w:val="false"/>
                  <w:i w:val="false"/>
                  <w:caps w:val="false"/>
                  <w:smallCaps w:val="false"/>
                  <w:sz w:val="20"/>
                </w:rPr>
                <w:t>[RESERVED]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950" w:type="dxa"/>
            <w:tcBorders/>
            <w:vAlign w:val="center"/>
          </w:tcPr>
          <w:p>
            <w:pPr>
              <w:pStyle w:val="TableContents"/>
              <w:bidi w:val="0"/>
              <w:spacing w:before="0" w:after="283"/>
              <w:ind w:left="0" w:right="0" w:hanging="180"/>
              <w:jc w:val="both"/>
              <w:rPr/>
            </w:pPr>
            <w:hyperlink w:anchor="a_066">
              <w:r>
                <w:rPr>
                  <w:rStyle w:val="InternetLink"/>
                  <w:rFonts w:ascii="Times New Roman;Times;Serif" w:hAnsi="Times New Roman;Times;Serif"/>
                  <w:b w:val="false"/>
                  <w:i w:val="false"/>
                  <w:caps w:val="false"/>
                  <w:smallCaps w:val="false"/>
                  <w:sz w:val="20"/>
                </w:rPr>
                <w:t>ITEM 16A.</w:t>
              </w:r>
            </w:hyperlink>
          </w:p>
        </w:tc>
        <w:tc>
          <w:tcPr>
            <w:tcW w:w="8405" w:type="dxa"/>
            <w:tcBorders/>
            <w:vAlign w:val="center"/>
          </w:tcPr>
          <w:p>
            <w:pPr>
              <w:pStyle w:val="TableContents"/>
              <w:bidi w:val="0"/>
              <w:spacing w:before="0" w:after="283"/>
              <w:jc w:val="both"/>
              <w:rPr/>
            </w:pPr>
            <w:hyperlink w:anchor="a_066">
              <w:r>
                <w:rPr>
                  <w:rStyle w:val="InternetLink"/>
                  <w:rFonts w:ascii="Times New Roman;Times;Serif" w:hAnsi="Times New Roman;Times;Serif"/>
                  <w:b w:val="false"/>
                  <w:i w:val="false"/>
                  <w:caps w:val="false"/>
                  <w:smallCaps w:val="false"/>
                  <w:sz w:val="20"/>
                </w:rPr>
                <w:t>AUDIT COMMITTEE FINANCIAL EXPERT</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950" w:type="dxa"/>
            <w:tcBorders/>
            <w:shd w:fill="CCEEFF" w:val="clear"/>
            <w:vAlign w:val="center"/>
          </w:tcPr>
          <w:p>
            <w:pPr>
              <w:pStyle w:val="TableContents"/>
              <w:bidi w:val="0"/>
              <w:spacing w:before="0" w:after="283"/>
              <w:ind w:left="0" w:right="0" w:hanging="180"/>
              <w:jc w:val="both"/>
              <w:rPr/>
            </w:pPr>
            <w:hyperlink w:anchor="a_067">
              <w:r>
                <w:rPr>
                  <w:rStyle w:val="InternetLink"/>
                  <w:rFonts w:ascii="Times New Roman;Times;Serif" w:hAnsi="Times New Roman;Times;Serif"/>
                  <w:b w:val="false"/>
                  <w:i w:val="false"/>
                  <w:caps w:val="false"/>
                  <w:smallCaps w:val="false"/>
                  <w:sz w:val="20"/>
                </w:rPr>
                <w:t>ITEM 16B.</w:t>
              </w:r>
            </w:hyperlink>
          </w:p>
        </w:tc>
        <w:tc>
          <w:tcPr>
            <w:tcW w:w="8405" w:type="dxa"/>
            <w:tcBorders/>
            <w:shd w:fill="CCEEFF" w:val="clear"/>
            <w:vAlign w:val="center"/>
          </w:tcPr>
          <w:p>
            <w:pPr>
              <w:pStyle w:val="TableContents"/>
              <w:bidi w:val="0"/>
              <w:spacing w:before="0" w:after="283"/>
              <w:jc w:val="both"/>
              <w:rPr/>
            </w:pPr>
            <w:hyperlink w:anchor="a_067">
              <w:r>
                <w:rPr>
                  <w:rStyle w:val="InternetLink"/>
                  <w:rFonts w:ascii="Times New Roman;Times;Serif" w:hAnsi="Times New Roman;Times;Serif"/>
                  <w:b w:val="false"/>
                  <w:i w:val="false"/>
                  <w:caps w:val="false"/>
                  <w:smallCaps w:val="false"/>
                  <w:sz w:val="20"/>
                </w:rPr>
                <w:t>CODE OF ETHICS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950" w:type="dxa"/>
            <w:tcBorders/>
            <w:vAlign w:val="center"/>
          </w:tcPr>
          <w:p>
            <w:pPr>
              <w:pStyle w:val="TableContents"/>
              <w:bidi w:val="0"/>
              <w:spacing w:before="0" w:after="283"/>
              <w:ind w:left="0" w:right="0" w:hanging="180"/>
              <w:jc w:val="both"/>
              <w:rPr/>
            </w:pPr>
            <w:hyperlink w:anchor="a_068">
              <w:r>
                <w:rPr>
                  <w:rStyle w:val="InternetLink"/>
                  <w:rFonts w:ascii="Times New Roman;Times;Serif" w:hAnsi="Times New Roman;Times;Serif"/>
                  <w:b w:val="false"/>
                  <w:i w:val="false"/>
                  <w:caps w:val="false"/>
                  <w:smallCaps w:val="false"/>
                  <w:sz w:val="20"/>
                </w:rPr>
                <w:t>ITEM 16C.</w:t>
              </w:r>
            </w:hyperlink>
          </w:p>
        </w:tc>
        <w:tc>
          <w:tcPr>
            <w:tcW w:w="8405" w:type="dxa"/>
            <w:tcBorders/>
            <w:vAlign w:val="center"/>
          </w:tcPr>
          <w:p>
            <w:pPr>
              <w:pStyle w:val="TableContents"/>
              <w:bidi w:val="0"/>
              <w:spacing w:before="0" w:after="283"/>
              <w:jc w:val="both"/>
              <w:rPr/>
            </w:pPr>
            <w:hyperlink w:anchor="a_068">
              <w:r>
                <w:rPr>
                  <w:rStyle w:val="InternetLink"/>
                  <w:rFonts w:ascii="Times New Roman;Times;Serif" w:hAnsi="Times New Roman;Times;Serif"/>
                  <w:b w:val="false"/>
                  <w:i w:val="false"/>
                  <w:caps w:val="false"/>
                  <w:smallCaps w:val="false"/>
                  <w:sz w:val="20"/>
                </w:rPr>
                <w:t>PRINCIPAL ACCOUNTANT FEES AND SERVICES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950" w:type="dxa"/>
            <w:tcBorders/>
            <w:shd w:fill="CCEEFF" w:val="clear"/>
            <w:vAlign w:val="center"/>
          </w:tcPr>
          <w:p>
            <w:pPr>
              <w:pStyle w:val="TableContents"/>
              <w:bidi w:val="0"/>
              <w:spacing w:before="0" w:after="283"/>
              <w:ind w:left="0" w:right="0" w:hanging="180"/>
              <w:jc w:val="both"/>
              <w:rPr/>
            </w:pPr>
            <w:hyperlink w:anchor="a_069">
              <w:r>
                <w:rPr>
                  <w:rStyle w:val="InternetLink"/>
                  <w:rFonts w:ascii="Times New Roman;Times;Serif" w:hAnsi="Times New Roman;Times;Serif"/>
                  <w:b w:val="false"/>
                  <w:i w:val="false"/>
                  <w:caps w:val="false"/>
                  <w:smallCaps w:val="false"/>
                  <w:sz w:val="20"/>
                </w:rPr>
                <w:t>ITEM 16D.</w:t>
              </w:r>
            </w:hyperlink>
          </w:p>
        </w:tc>
        <w:tc>
          <w:tcPr>
            <w:tcW w:w="8405" w:type="dxa"/>
            <w:tcBorders/>
            <w:shd w:fill="CCEEFF" w:val="clear"/>
            <w:vAlign w:val="center"/>
          </w:tcPr>
          <w:p>
            <w:pPr>
              <w:pStyle w:val="TableContents"/>
              <w:bidi w:val="0"/>
              <w:spacing w:before="0" w:after="283"/>
              <w:jc w:val="both"/>
              <w:rPr/>
            </w:pPr>
            <w:hyperlink w:anchor="a_069">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950" w:type="dxa"/>
            <w:tcBorders/>
            <w:vAlign w:val="center"/>
          </w:tcPr>
          <w:p>
            <w:pPr>
              <w:pStyle w:val="TableContents"/>
              <w:bidi w:val="0"/>
              <w:spacing w:before="0" w:after="283"/>
              <w:ind w:left="0" w:right="0" w:hanging="180"/>
              <w:jc w:val="both"/>
              <w:rPr/>
            </w:pPr>
            <w:hyperlink w:anchor="a_070">
              <w:r>
                <w:rPr>
                  <w:rStyle w:val="InternetLink"/>
                  <w:rFonts w:ascii="Times New Roman;Times;Serif" w:hAnsi="Times New Roman;Times;Serif"/>
                  <w:b w:val="false"/>
                  <w:i w:val="false"/>
                  <w:caps w:val="false"/>
                  <w:smallCaps w:val="false"/>
                  <w:sz w:val="20"/>
                </w:rPr>
                <w:t>ITEM 16E.</w:t>
              </w:r>
            </w:hyperlink>
          </w:p>
        </w:tc>
        <w:tc>
          <w:tcPr>
            <w:tcW w:w="8405" w:type="dxa"/>
            <w:tcBorders/>
            <w:vAlign w:val="center"/>
          </w:tcPr>
          <w:p>
            <w:pPr>
              <w:pStyle w:val="TableContents"/>
              <w:bidi w:val="0"/>
              <w:spacing w:before="0" w:after="283"/>
              <w:jc w:val="both"/>
              <w:rPr/>
            </w:pPr>
            <w:hyperlink w:anchor="a_070">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950" w:type="dxa"/>
            <w:tcBorders/>
            <w:shd w:fill="CCEEFF" w:val="clear"/>
            <w:vAlign w:val="center"/>
          </w:tcPr>
          <w:p>
            <w:pPr>
              <w:pStyle w:val="TableContents"/>
              <w:bidi w:val="0"/>
              <w:spacing w:before="0" w:after="283"/>
              <w:ind w:left="0" w:right="0" w:hanging="180"/>
              <w:jc w:val="both"/>
              <w:rPr/>
            </w:pPr>
            <w:hyperlink w:anchor="a_071">
              <w:r>
                <w:rPr>
                  <w:rStyle w:val="InternetLink"/>
                  <w:rFonts w:ascii="Times New Roman;Times;Serif" w:hAnsi="Times New Roman;Times;Serif"/>
                  <w:b w:val="false"/>
                  <w:i w:val="false"/>
                  <w:caps w:val="false"/>
                  <w:smallCaps w:val="false"/>
                  <w:sz w:val="20"/>
                </w:rPr>
                <w:t>ITEM 16F.</w:t>
              </w:r>
            </w:hyperlink>
          </w:p>
        </w:tc>
        <w:tc>
          <w:tcPr>
            <w:tcW w:w="8405" w:type="dxa"/>
            <w:tcBorders/>
            <w:shd w:fill="CCEEFF" w:val="clear"/>
            <w:vAlign w:val="center"/>
          </w:tcPr>
          <w:p>
            <w:pPr>
              <w:pStyle w:val="TableContents"/>
              <w:bidi w:val="0"/>
              <w:spacing w:before="0" w:after="283"/>
              <w:jc w:val="both"/>
              <w:rPr/>
            </w:pPr>
            <w:hyperlink w:anchor="a_071">
              <w:r>
                <w:rPr>
                  <w:rStyle w:val="InternetLink"/>
                  <w:rFonts w:ascii="Times New Roman;Times;Serif" w:hAnsi="Times New Roman;Times;Serif"/>
                  <w:b w:val="false"/>
                  <w:i w:val="false"/>
                  <w:caps w:val="false"/>
                  <w:smallCaps w:val="false"/>
                  <w:sz w:val="20"/>
                </w:rPr>
                <w:t>CHANGE IN REGISTRANT’S CERTIFYING ACCOUNTANT</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950" w:type="dxa"/>
            <w:tcBorders/>
            <w:vAlign w:val="center"/>
          </w:tcPr>
          <w:p>
            <w:pPr>
              <w:pStyle w:val="TableContents"/>
              <w:bidi w:val="0"/>
              <w:spacing w:before="0" w:after="283"/>
              <w:ind w:left="0" w:right="0" w:hanging="180"/>
              <w:jc w:val="both"/>
              <w:rPr/>
            </w:pPr>
            <w:hyperlink w:anchor="a_072">
              <w:r>
                <w:rPr>
                  <w:rStyle w:val="InternetLink"/>
                  <w:rFonts w:ascii="Times New Roman;Times;Serif" w:hAnsi="Times New Roman;Times;Serif"/>
                  <w:b w:val="false"/>
                  <w:i w:val="false"/>
                  <w:caps w:val="false"/>
                  <w:smallCaps w:val="false"/>
                  <w:sz w:val="20"/>
                </w:rPr>
                <w:t>ITEM 16G.</w:t>
              </w:r>
            </w:hyperlink>
          </w:p>
        </w:tc>
        <w:tc>
          <w:tcPr>
            <w:tcW w:w="8405" w:type="dxa"/>
            <w:tcBorders/>
            <w:vAlign w:val="center"/>
          </w:tcPr>
          <w:p>
            <w:pPr>
              <w:pStyle w:val="TableContents"/>
              <w:bidi w:val="0"/>
              <w:spacing w:before="0" w:after="283"/>
              <w:jc w:val="both"/>
              <w:rPr/>
            </w:pPr>
            <w:hyperlink w:anchor="a_072">
              <w:r>
                <w:rPr>
                  <w:rStyle w:val="InternetLink"/>
                  <w:rFonts w:ascii="Times New Roman;Times;Serif" w:hAnsi="Times New Roman;Times;Serif"/>
                  <w:b w:val="false"/>
                  <w:i w:val="false"/>
                  <w:caps w:val="false"/>
                  <w:smallCaps w:val="false"/>
                  <w:sz w:val="20"/>
                </w:rPr>
                <w:t>CORPORATE GOVERNANCE</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950" w:type="dxa"/>
            <w:tcBorders/>
            <w:shd w:fill="CCEEFF" w:val="clear"/>
            <w:vAlign w:val="center"/>
          </w:tcPr>
          <w:p>
            <w:pPr>
              <w:pStyle w:val="TableContents"/>
              <w:bidi w:val="0"/>
              <w:spacing w:before="0" w:after="283"/>
              <w:ind w:left="0" w:right="0" w:hanging="180"/>
              <w:jc w:val="both"/>
              <w:rPr/>
            </w:pPr>
            <w:hyperlink w:anchor="a_073">
              <w:r>
                <w:rPr>
                  <w:rStyle w:val="InternetLink"/>
                  <w:rFonts w:ascii="Times New Roman;Times;Serif" w:hAnsi="Times New Roman;Times;Serif"/>
                  <w:b w:val="false"/>
                  <w:i w:val="false"/>
                  <w:caps w:val="false"/>
                  <w:smallCaps w:val="false"/>
                  <w:sz w:val="20"/>
                </w:rPr>
                <w:t>ITEM 16H.</w:t>
              </w:r>
            </w:hyperlink>
          </w:p>
        </w:tc>
        <w:tc>
          <w:tcPr>
            <w:tcW w:w="8405" w:type="dxa"/>
            <w:tcBorders/>
            <w:shd w:fill="CCEEFF" w:val="clear"/>
            <w:vAlign w:val="center"/>
          </w:tcPr>
          <w:p>
            <w:pPr>
              <w:pStyle w:val="TableContents"/>
              <w:bidi w:val="0"/>
              <w:spacing w:before="0" w:after="283"/>
              <w:jc w:val="both"/>
              <w:rPr/>
            </w:pPr>
            <w:hyperlink w:anchor="a_073">
              <w:r>
                <w:rPr>
                  <w:rStyle w:val="InternetLink"/>
                  <w:rFonts w:ascii="Times New Roman;Times;Serif" w:hAnsi="Times New Roman;Times;Serif"/>
                  <w:b w:val="false"/>
                  <w:i w:val="false"/>
                  <w:caps w:val="false"/>
                  <w:smallCaps w:val="false"/>
                  <w:sz w:val="20"/>
                </w:rPr>
                <w:t>MINE SAFETY DISCLOSURE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950" w:type="dxa"/>
            <w:tcBorders/>
            <w:vAlign w:val="center"/>
          </w:tcPr>
          <w:p>
            <w:pPr>
              <w:pStyle w:val="TableContents"/>
              <w:bidi w:val="0"/>
              <w:spacing w:before="0" w:after="283"/>
              <w:ind w:left="0" w:right="0" w:hanging="180"/>
              <w:jc w:val="both"/>
              <w:rPr/>
            </w:pPr>
            <w:hyperlink w:anchor="a_074">
              <w:r>
                <w:rPr>
                  <w:rStyle w:val="InternetLink"/>
                  <w:rFonts w:ascii="Times New Roman;Times;Serif" w:hAnsi="Times New Roman;Times;Serif"/>
                  <w:b w:val="false"/>
                  <w:i w:val="false"/>
                  <w:caps w:val="false"/>
                  <w:smallCaps w:val="false"/>
                  <w:sz w:val="20"/>
                </w:rPr>
                <w:t>ITEM 16I</w:t>
              </w:r>
            </w:hyperlink>
          </w:p>
        </w:tc>
        <w:tc>
          <w:tcPr>
            <w:tcW w:w="8405" w:type="dxa"/>
            <w:tcBorders/>
            <w:vAlign w:val="center"/>
          </w:tcPr>
          <w:p>
            <w:pPr>
              <w:pStyle w:val="TableContents"/>
              <w:bidi w:val="0"/>
              <w:spacing w:before="0" w:after="283"/>
              <w:jc w:val="both"/>
              <w:rPr/>
            </w:pPr>
            <w:hyperlink w:anchor="a_074">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950" w:type="dxa"/>
            <w:tcBorders/>
            <w:shd w:fill="CCEEFF" w:val="clear"/>
            <w:vAlign w:val="center"/>
          </w:tcPr>
          <w:p>
            <w:pPr>
              <w:pStyle w:val="TableContents"/>
              <w:bidi w:val="0"/>
              <w:spacing w:before="0" w:after="283"/>
              <w:ind w:left="0" w:right="0" w:hanging="180"/>
              <w:jc w:val="both"/>
              <w:rPr/>
            </w:pPr>
            <w:hyperlink w:anchor="a_075">
              <w:r>
                <w:rPr>
                  <w:rStyle w:val="InternetLink"/>
                  <w:rFonts w:ascii="Times New Roman;Times;Serif" w:hAnsi="Times New Roman;Times;Serif"/>
                  <w:b w:val="false"/>
                  <w:i w:val="false"/>
                  <w:caps w:val="false"/>
                  <w:smallCaps w:val="false"/>
                  <w:sz w:val="20"/>
                </w:rPr>
                <w:t>ITEM 16J</w:t>
              </w:r>
            </w:hyperlink>
          </w:p>
        </w:tc>
        <w:tc>
          <w:tcPr>
            <w:tcW w:w="8405" w:type="dxa"/>
            <w:tcBorders/>
            <w:shd w:fill="CCEEFF" w:val="clear"/>
            <w:vAlign w:val="center"/>
          </w:tcPr>
          <w:p>
            <w:pPr>
              <w:pStyle w:val="TableContents"/>
              <w:bidi w:val="0"/>
              <w:spacing w:before="0" w:after="283"/>
              <w:jc w:val="both"/>
              <w:rPr/>
            </w:pPr>
            <w:hyperlink w:anchor="a_075">
              <w:r>
                <w:rPr>
                  <w:rStyle w:val="InternetLink"/>
                  <w:rFonts w:ascii="Times New Roman;Times;Serif" w:hAnsi="Times New Roman;Times;Serif"/>
                  <w:b w:val="false"/>
                  <w:i w:val="false"/>
                  <w:caps w:val="false"/>
                  <w:smallCaps w:val="false"/>
                  <w:sz w:val="20"/>
                </w:rPr>
                <w:t xml:space="preserve">INSIDER TRADING POLICIES </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950" w:type="dxa"/>
            <w:tcBorders/>
            <w:vAlign w:val="center"/>
          </w:tcPr>
          <w:p>
            <w:pPr>
              <w:pStyle w:val="TableContents"/>
              <w:bidi w:val="0"/>
              <w:spacing w:before="0" w:after="283"/>
              <w:ind w:left="0" w:right="0" w:hanging="180"/>
              <w:jc w:val="both"/>
              <w:rPr/>
            </w:pPr>
            <w:hyperlink w:anchor="a_076">
              <w:r>
                <w:rPr>
                  <w:rStyle w:val="InternetLink"/>
                  <w:rFonts w:ascii="Times New Roman;Times;Serif" w:hAnsi="Times New Roman;Times;Serif"/>
                  <w:b w:val="false"/>
                  <w:i w:val="false"/>
                  <w:caps w:val="false"/>
                  <w:smallCaps w:val="false"/>
                  <w:sz w:val="20"/>
                </w:rPr>
                <w:t>ITEM 16K</w:t>
              </w:r>
            </w:hyperlink>
          </w:p>
        </w:tc>
        <w:tc>
          <w:tcPr>
            <w:tcW w:w="8405" w:type="dxa"/>
            <w:tcBorders/>
            <w:vAlign w:val="center"/>
          </w:tcPr>
          <w:p>
            <w:pPr>
              <w:pStyle w:val="TableContents"/>
              <w:bidi w:val="0"/>
              <w:spacing w:before="0" w:after="283"/>
              <w:jc w:val="both"/>
              <w:rPr/>
            </w:pPr>
            <w:hyperlink w:anchor="a_076">
              <w:r>
                <w:rPr>
                  <w:rStyle w:val="InternetLink"/>
                  <w:rFonts w:ascii="Times New Roman;Times;Serif" w:hAnsi="Times New Roman;Times;Serif"/>
                  <w:b w:val="false"/>
                  <w:i w:val="false"/>
                  <w:caps w:val="false"/>
                  <w:smallCaps w:val="false"/>
                  <w:sz w:val="20"/>
                </w:rPr>
                <w:t xml:space="preserve">CYBERSECURITY </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950" w:type="dxa"/>
            <w:tcBorders/>
            <w:shd w:fill="CCEE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84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vAlign w:val="center"/>
          </w:tcPr>
          <w:p>
            <w:pPr>
              <w:pStyle w:val="TableContents"/>
              <w:bidi w:val="0"/>
              <w:spacing w:before="0" w:after="283"/>
              <w:ind w:left="0" w:right="0" w:hanging="180"/>
              <w:jc w:val="left"/>
              <w:rPr/>
            </w:pPr>
            <w:hyperlink w:anchor="a_077">
              <w:r>
                <w:rPr>
                  <w:rStyle w:val="InternetLink"/>
                  <w:rFonts w:ascii="Times New Roman;Times;Serif" w:hAnsi="Times New Roman;Times;Serif"/>
                  <w:b w:val="false"/>
                  <w:i w:val="false"/>
                  <w:caps w:val="false"/>
                  <w:smallCaps w:val="false"/>
                  <w:sz w:val="20"/>
                </w:rPr>
                <w:t>PART III</w:t>
              </w:r>
            </w:hyperlink>
          </w:p>
        </w:tc>
        <w:tc>
          <w:tcPr>
            <w:tcW w:w="840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95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84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50" w:type="dxa"/>
            <w:tcBorders/>
            <w:vAlign w:val="center"/>
          </w:tcPr>
          <w:p>
            <w:pPr>
              <w:pStyle w:val="TableContents"/>
              <w:bidi w:val="0"/>
              <w:spacing w:before="0" w:after="283"/>
              <w:ind w:left="0" w:right="0" w:hanging="180"/>
              <w:jc w:val="both"/>
              <w:rPr/>
            </w:pPr>
            <w:hyperlink w:anchor="a_078">
              <w:r>
                <w:rPr>
                  <w:rStyle w:val="InternetLink"/>
                  <w:rFonts w:ascii="Times New Roman;Times;Serif" w:hAnsi="Times New Roman;Times;Serif"/>
                  <w:b w:val="false"/>
                  <w:i w:val="false"/>
                  <w:caps w:val="false"/>
                  <w:smallCaps w:val="false"/>
                  <w:sz w:val="20"/>
                </w:rPr>
                <w:t>ITEM 17.</w:t>
              </w:r>
            </w:hyperlink>
          </w:p>
        </w:tc>
        <w:tc>
          <w:tcPr>
            <w:tcW w:w="8405" w:type="dxa"/>
            <w:tcBorders/>
            <w:vAlign w:val="center"/>
          </w:tcPr>
          <w:p>
            <w:pPr>
              <w:pStyle w:val="TableContents"/>
              <w:bidi w:val="0"/>
              <w:spacing w:before="0" w:after="283"/>
              <w:jc w:val="both"/>
              <w:rPr/>
            </w:pPr>
            <w:hyperlink w:anchor="a_078">
              <w:r>
                <w:rPr>
                  <w:rStyle w:val="InternetLink"/>
                  <w:rFonts w:ascii="Times New Roman;Times;Serif" w:hAnsi="Times New Roman;Times;Serif"/>
                  <w:b w:val="false"/>
                  <w:i w:val="false"/>
                  <w:caps w:val="false"/>
                  <w:smallCaps w:val="false"/>
                  <w:sz w:val="20"/>
                </w:rPr>
                <w:t>FINANCIAL STATEMENTS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950" w:type="dxa"/>
            <w:tcBorders/>
            <w:shd w:fill="CCEEFF" w:val="clear"/>
            <w:vAlign w:val="center"/>
          </w:tcPr>
          <w:p>
            <w:pPr>
              <w:pStyle w:val="TableContents"/>
              <w:bidi w:val="0"/>
              <w:spacing w:before="0" w:after="283"/>
              <w:ind w:left="0" w:right="0" w:hanging="180"/>
              <w:jc w:val="both"/>
              <w:rPr/>
            </w:pPr>
            <w:hyperlink w:anchor="a_079">
              <w:r>
                <w:rPr>
                  <w:rStyle w:val="InternetLink"/>
                  <w:rFonts w:ascii="Times New Roman;Times;Serif" w:hAnsi="Times New Roman;Times;Serif"/>
                  <w:b w:val="false"/>
                  <w:i w:val="false"/>
                  <w:caps w:val="false"/>
                  <w:smallCaps w:val="false"/>
                  <w:sz w:val="20"/>
                </w:rPr>
                <w:t>ITEM 18.</w:t>
              </w:r>
            </w:hyperlink>
          </w:p>
        </w:tc>
        <w:tc>
          <w:tcPr>
            <w:tcW w:w="8405" w:type="dxa"/>
            <w:tcBorders/>
            <w:shd w:fill="CCEEFF" w:val="clear"/>
            <w:vAlign w:val="center"/>
          </w:tcPr>
          <w:p>
            <w:pPr>
              <w:pStyle w:val="TableContents"/>
              <w:bidi w:val="0"/>
              <w:spacing w:before="0" w:after="283"/>
              <w:jc w:val="both"/>
              <w:rPr/>
            </w:pPr>
            <w:hyperlink w:anchor="a_079">
              <w:r>
                <w:rPr>
                  <w:rStyle w:val="InternetLink"/>
                  <w:rFonts w:ascii="Times New Roman;Times;Serif" w:hAnsi="Times New Roman;Times;Serif"/>
                  <w:b w:val="false"/>
                  <w:i w:val="false"/>
                  <w:caps w:val="false"/>
                  <w:smallCaps w:val="false"/>
                  <w:sz w:val="20"/>
                </w:rPr>
                <w:t>FINANCIAL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950" w:type="dxa"/>
            <w:tcBorders/>
            <w:vAlign w:val="center"/>
          </w:tcPr>
          <w:p>
            <w:pPr>
              <w:pStyle w:val="TableContents"/>
              <w:bidi w:val="0"/>
              <w:spacing w:before="0" w:after="283"/>
              <w:ind w:left="0" w:right="0" w:hanging="180"/>
              <w:jc w:val="both"/>
              <w:rPr/>
            </w:pPr>
            <w:hyperlink w:anchor="a_080">
              <w:r>
                <w:rPr>
                  <w:rStyle w:val="InternetLink"/>
                  <w:rFonts w:ascii="Times New Roman;Times;Serif" w:hAnsi="Times New Roman;Times;Serif"/>
                  <w:b w:val="false"/>
                  <w:i w:val="false"/>
                  <w:caps w:val="false"/>
                  <w:smallCaps w:val="false"/>
                  <w:sz w:val="20"/>
                </w:rPr>
                <w:t>ITEM 19.</w:t>
              </w:r>
            </w:hyperlink>
          </w:p>
        </w:tc>
        <w:tc>
          <w:tcPr>
            <w:tcW w:w="8405" w:type="dxa"/>
            <w:tcBorders/>
            <w:vAlign w:val="center"/>
          </w:tcPr>
          <w:p>
            <w:pPr>
              <w:pStyle w:val="TableContents"/>
              <w:bidi w:val="0"/>
              <w:spacing w:before="0" w:after="283"/>
              <w:jc w:val="both"/>
              <w:rPr/>
            </w:pPr>
            <w:hyperlink w:anchor="a_080">
              <w:r>
                <w:rPr>
                  <w:rStyle w:val="InternetLink"/>
                  <w:rFonts w:ascii="Times New Roman;Times;Serif" w:hAnsi="Times New Roman;Times;Serif"/>
                  <w:b w:val="false"/>
                  <w:i w:val="false"/>
                  <w:caps w:val="false"/>
                  <w:smallCaps w:val="false"/>
                  <w:sz w:val="20"/>
                </w:rPr>
                <w:t>EXHIBITS</w:t>
              </w:r>
            </w:hyperlink>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9355" w:type="dxa"/>
            <w:gridSpan w:val="2"/>
            <w:tcBorders/>
            <w:shd w:fill="CCEEFF" w:val="clear"/>
            <w:vAlign w:val="center"/>
          </w:tcPr>
          <w:p>
            <w:pPr>
              <w:pStyle w:val="TableContents"/>
              <w:bidi w:val="0"/>
              <w:spacing w:before="0" w:after="283"/>
              <w:jc w:val="both"/>
              <w:rPr/>
            </w:pPr>
            <w:hyperlink w:anchor="a_081">
              <w:r>
                <w:rPr>
                  <w:rStyle w:val="InternetLink"/>
                  <w:rFonts w:ascii="Times New Roman;Times;Serif" w:hAnsi="Times New Roman;Times;Serif"/>
                  <w:b w:val="false"/>
                  <w:i w:val="false"/>
                  <w:caps w:val="false"/>
                  <w:smallCaps w:val="false"/>
                  <w:sz w:val="20"/>
                </w:rPr>
                <w:t>SIGNATURES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in this Annual Report on Form 20-F to the “Company,” “Rail Vision,” “we,” “us,” “our” and other similar designations refer to Rail Vision Ltd. All references to “shares” or “ordinary shares” are to our ordinary shares, no par value. All references to “Israel” are to the State of Israel. “U.S. GAAP” means the generally accepted accounting principles of the United States. Unless otherwise stated, all of our financial information presented in this Annual Report has been prepared in accordance with U.S. GAAP. Any discrepancies in any table between totals and sums of the amounts listed are due to rounding. Unless otherwise indicated, or the context otherwise requires, references in this Annual Report to financial and operational data for a particular year refer to the fiscal year of our company ended December 31 of that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and financial currency is the U.S. dollar. In this Annual Report, “NIS” means New Israeli Shekel, and “$,” “US$” and “U.S. dollars” mean United States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2023, we effected a reverse share split of our ordinary shares at the ratio of 8:1. Unless the context expressly dictates otherwise, all references to share and per share amounts referred to herein reflect the reverse share split.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EMERGING GROWTH COMPANY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the U.S. Jumpstart Our Business Startups Act of 2012, or JOBS Act, and we may take advantage of certain exemptions, including exemptions from various reporting requirements that are otherwise applicable to public traded entities that do not qualify as emerging growth companies. These exemptions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the auditor attestation requirements of Section 404 of the Sarbanes-Oxley Act of 2002, or the Sarbanes-Oxley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We have elected to irrevocably opt out of this extended transition period and, as a result, we are required to comply with new or revised accounting standards on the relevant dates on which adoption of such standards is required for non-emerging growth companies. Under federal securities laws, our decision to opt out of the extended transition period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the last day of the first fiscal year in which our annual gross revenues exceed $1.07 billion; (ii) the last day of the fiscal year following the fifth anniversary of the date of our initial public offering (i.e., December 31, 2027); (iii) the date that we become a “large accelerated filer” as defined in Rule 12b-2 under the Exchange Act, which would occur if the aggregate worldwide market value of our ordinary shares, including ordinary shares represented by warrants, held by non-affiliates is at least $700 million as of the last business day of our most recently completed second fiscal quarter; or (iv) the date on which we have issued more than $1.0 billion in non-convertible debt securities during any three-year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trademarks, service marks and trade names that we use in connection with the operation of our business, including our corporate name, logos and website names. Other trademarks, service marks and trade names appearing in this Annual Report on Form 20-F are the property of their respective owners. Solely for convenience, some of the trademarks, service marks and trade names referred to in this Annual Report on Form 20-F are listed without the ® and ™ symbols, but we will assert, to the fullest extent under applicable law, our rights to our trademarks, service marks and trade names.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included or incorporated by reference in this Annual Report may be deemed to be “forward-looking statements” within the meaning of the Private Securities Litigation Reform Act of 1995 and other securities laws. Forward-looking statements are often characterized by the use of forward-looking terminology such as “may,” “will,” “expect,” “anticipate,” “estimate,” “continue,” “believe,” “should,” “intend,” “project” or other similar words, but are not the only way these statements are identified.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but not limited to, the factors summarized below:</w:t>
      </w:r>
    </w:p>
    <w:p>
      <w:pPr>
        <w:pStyle w:val="TextBody"/>
        <w:bidi w:val="0"/>
        <w:spacing w:before="0" w:after="0"/>
        <w:ind w:left="0" w:right="0" w:firstLine="72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170"/>
        <w:gridCol w:w="24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operating history;</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future capital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manufacture, market and sell our products and to generate revenues;</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170"/>
        <w:gridCol w:w="8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relationships with key partners and grow relationships with new partners;</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70"/>
        <w:gridCol w:w="8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or protect the validity of our U.S. and other patents and other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70"/>
        <w:gridCol w:w="7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launch and penetrate markets in new locations and new market segments;</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170"/>
        <w:gridCol w:w="6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executive members and hire additional personnel;</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interpretations of current laws and the passages of future laws;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170"/>
        <w:gridCol w:w="72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greater regulatory compliance needed in existing and new markets;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demand for passenger and freight transport;</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key performance milestones in our planned operational testing;</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adequate sales, marketing and distribution channels;</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our business model by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political and economic instability in the Middle East that could harm our business, including due to the current war between Israel and Hamas;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factors referred to in “Item 3.D. Risk Factors,” “Item 4. Information on the Company,” and “Item 5. Operating and Financial Review and Prospects,” as well as in this Annual Report on Form 20-F generally.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Annual Report on Form 20-F in greater detail under the heading “Risk Factors” and elsewhere in this Annual Report on Form 20-F. You should not rely upon forward-looking statements as predictions of future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Annual Report on 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vi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MARKET, INDUSTRY AND OTHER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data and certain industry data and forecasts used throughout this Annual Report on Form 20-F were obtained from sources we believe to be reliable, including market research databases, publicly available information, reports of governmental agencies, and industry publications and surveys. We have relied on certain data from third party sources, including industry forecasts and market research, which we believe to be reliable based on our management’s knowledge of the industry. While we are not aware of any misstatements regarding the industry data presented in this Annual Report on Form 20-F, our estimates involve risks and uncertainties and are subject to change based on various factors, including those discussed under the heading “Risk Factors” and elsewhere in this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made in this Annual Report on Form 20-F concerning the contents of any agreement, contract or other document are summaries of such agreements, contracts or documents and are not a complete description of all of their terms. If we filed any of these agreements, contracts or documents as exhibits to this Report or to any previous filing with the Securities and Exchange Commission, or SEC, you may read the document itself for a complete understanding of its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vii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D.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risks described below, together with all of the other information in this Annual Report on Form 20-F. The risks and uncertainties described below are those significant risk factors, currently known and specific to us, that we believe are relevant to an investment in our securities. Additional risks and uncertainties not currently known to us or that we now deem immaterial may also harm us. If any of these risks materialize our business, results of operations or financial condition could suffer, and the price of our ordinary shares could decline substantially.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those highlighted in the section titled “Risk Factors” below. These risks include, among others,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development-stage company and have a limited operating history on which to assess the prospects for our business, have incurred significant losses since the date of our inception, and anticipate that we will continue to incur significant losses until we are able to successfully commercialize our products.</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significant revenue from the sale of our current products and may never be profitable.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invest significant time and raise substantial additional capital before we can expect to become profitable from sales of our products. This additional capital may not be available on acceptable terms, or at all. Failure to obtain this necessary capital when needed may force us to delay, limit or terminate our product development efforts or other operations. Raising additional capital would cause dilution to our existing shareholders, and may affect the rights of existing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entirely on the success of our current products in development, we may not be able to successfully introduce these products and commercialize them, and we may not be able to successfully manage our planned growth, and our operating results and financial condition may fluctuate. Defects in products could give rise to product returns or product liability, warranty or other claims that could result in material expenses, diversion of management time and attention, and damage to our reputation.</w:t>
            </w:r>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adversely affected by changes in railway safety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employment laws, we may not be able to enforce covenants not to compete and therefore may be unable to prevent our competitors from benefiting from the expertise of some of our former employees.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in which we participate are competitive and our failure to compete successfully could cause any future revenues and the demand for our products not to materialize or to decline over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relationships with suppliers for our products and services, especially with single source suppliers of components of our products, were to terminate or our manufacturing arrangements were to be disrupted, our business could be interrupted.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planned international operations will expose us to additional market and operational risks, and failure to manage these risks may adversely affect our business and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disruptions of our information technology systems or breaches of our data security could adversely affect our business. Additionally, we are subject to data ownership and privacy regulations which may expose us to lawsuits and sanctions for violations.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fluctuations in currency exchange rates, which could negatively affect our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resurgence of the COVID-19 pandemic could adversely affect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developments, or social media posts and interactions may impact our reputation.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operating results and growth rates may be adversely affected by current or future unfavorable economic and market conditions and adverse developments with respect to financial institutions and associated liquidity risk.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social and corporate governance (ESG) issues, including those related to climate change and sustainability, may have an adverse effect on our business, financial condition and results of operations and damage our reputation.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Intellectual Property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and maintain effective patent rights for our products, we may not be able to compete effectively in our markets. If we are unable to protect the confidentiality of our trade secrets or know-how, such proprietary information may be used by others to compete against us, affecting our ability to compete.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involved in lawsuits to protect or enforce our intellectual property, which could be expensive, time consuming, and unsuccessful and we may be subject to claims challenging the inventorship of our intellectual property, and we may not be able to protect our intellectual property rights throughout the world.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Ownership of Our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shareholders, officers and directors beneficially own approximately 13.8% of our ordinary shares. They will therefore be able to exert significant control over matters submitted to our shareholders for approval, which could limit your ability to influence the outcome of key transactions, including a change of control, and which may result in conflicts with us or you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have relationships with our principal shareholders, which may cause conflicts of interest with respect to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 “passive foreign investment company,” or PFIC, for U.S. federal income tax purposes in the current taxable year or may be one in any subsequent taxable year. There generally would be negative tax consequences for U.S. taxpayers that are holders of our ordinary shares if we are or were to become a PFIC.</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170"/>
        <w:gridCol w:w="8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securities litigation, which is expensive and could divert management attention.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Israeli Law and Our Incorporation, Location and Operations in Israel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research and development and other significant operations are located in Israel, and, therefore, our results may be adversely affected by political, economic and military instability in Israel.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Israeli law and our articles of association may delay, prevent or otherwise impede a merger with, or an acquisition of, our company, even when the terms of such a transaction are favorable to us and our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rights and responsibilities as a holder of our securities are governed by Israeli law, which differs in some material respects from the rights and responsibilities of shareholders of U.S.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 difficult to enforce a judgment of a U.S. court against us and our officers and directors and the Israeli experts named in this Annual Report in Israel or the United States, to assert U.S. securities laws claims in Israel or to serve process on our officers and directors and these experts.</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may be disrupted as a result of the obligation of management or key personnel to perform military service.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development-stage company and have a limited operating history on which to assess the prospects for our business, have incurred significant losses since the date of our inception, and anticipate that we will continue to incur significant losses until we are able to successfully commercialize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development-stage company with a limited operating history. We have incurred net losses since our inception in 2016, including net losses of approximately $11.1 million for the year ended December 31, 2023. As of December 31, 2023, we had an accumulated deficit of approximately $66.0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devoted substantially all of our financial resources to develop our solutions. We have financed our operations primarily through the issuance of equity securities and credit facility that we entered into in January 2024. See “Item 5. Operating and Financial Review and Prospects— B. Operating Results— Financing Activities— Execution of Credit Facility Agreement and Issuance of Warrant (January 2024)” for additional information. The amount of our future net losses will depend, in part, on completing the development of our products, the rate of our future expenditures and our ability to obtain funding through the issuance of our securities, strategic collaborations or grants. We expect to continue to incur significant losses until we are able to successfully commercialize our products. We anticipate that our expenses will increase substantially if and as we:</w:t>
      </w:r>
    </w:p>
    <w:p>
      <w:pPr>
        <w:pStyle w:val="TextBody"/>
        <w:bidi w:val="0"/>
        <w:spacing w:before="0" w:after="0"/>
        <w:ind w:left="0" w:right="0" w:firstLine="72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development and testing of our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sales, marketing, and distribution infrastructure to commercialize our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identify, assess, acquire, license, and/or develop other products and subsequent generations of our current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maintain, protect, and expand our intellectual property portfolio;</w:t>
            </w:r>
          </w:p>
        </w:tc>
      </w:tr>
    </w:tbl>
    <w:p>
      <w:pPr>
        <w:pStyle w:val="TextBody"/>
        <w:bidi w:val="0"/>
        <w:spacing w:before="0" w:after="0"/>
        <w:ind w:left="1080" w:right="0" w:hanging="36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attract and retain skilled personnel;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additional infrastructure to support our operations as a public company and our product development and planned future commercialization efforts.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generated significant revenue from the sale of our current products and may never be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generated significant revenues since the date of our inception. Our first revenues were recorded in our unaudited interim condensed financial statements for the period ended June 30, 2021. Our ability to generate revenue and achieve profitability depends on our ability to successfully complete the development of, and to commercialize, our products. Our ability to generate future revenue from product sales depends heavily on our success in many areas,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completing development and testing of our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supply and manufacturing relationships with third parties that can provide adequate (in amount and quality) products to support market demand for our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and commercializing products, either directly or with a collaborator or distributor;</w:t>
            </w:r>
          </w:p>
        </w:tc>
      </w:tr>
    </w:tbl>
    <w:p>
      <w:pPr>
        <w:pStyle w:val="TextBody"/>
        <w:bidi w:val="0"/>
        <w:spacing w:before="0" w:after="0"/>
        <w:ind w:left="1080" w:right="0" w:hanging="36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competing technological and market developments;</w:t>
            </w:r>
          </w:p>
        </w:tc>
      </w:tr>
    </w:tbl>
    <w:p>
      <w:pPr>
        <w:pStyle w:val="TextBody"/>
        <w:bidi w:val="0"/>
        <w:spacing w:before="0" w:after="0"/>
        <w:ind w:left="1080" w:right="0" w:hanging="36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assessing, acquiring and/or developing new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negotiating favorable terms in any collaboration, licensing or other arrangements into which we may enter;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protecting and expanding our portfolio of intellectual property rights, including patents, trade secrets and know-how; and</w:t>
            </w:r>
          </w:p>
        </w:tc>
      </w:tr>
    </w:tbl>
    <w:p>
      <w:pPr>
        <w:pStyle w:val="TextBody"/>
        <w:bidi w:val="0"/>
        <w:spacing w:before="0" w:after="0"/>
        <w:ind w:left="1080" w:right="0" w:hanging="36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170"/>
        <w:gridCol w:w="4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hiring and retaining qualified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that we will need to invest significant time and raise substantial additional capital before we can expect to become profitable from sales of our products. This additional capital may not be available on acceptable terms, or at all. Failure to obtain this necessary capital when needed may force us to delay, limit or terminate our product development efforts or other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invest significant time and require substantial additional capital to commercialize our products. In addition, our operating plans may change as a result of many factors that may currently be unknown to us, and we may need to seek additional funds sooner than planned. Our future capital requirements will depend on many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170"/>
        <w:gridCol w:w="8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results and cost of product development, testing and other related activities;</w:t>
            </w:r>
          </w:p>
        </w:tc>
      </w:tr>
    </w:tbl>
    <w:p>
      <w:pPr>
        <w:pStyle w:val="TextBody"/>
        <w:bidi w:val="0"/>
        <w:spacing w:before="0" w:after="0"/>
        <w:ind w:left="1080" w:right="0" w:hanging="36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establishing commercial supplies of our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establishing sales, marketing, and distribution capabilities; and</w:t>
            </w:r>
          </w:p>
        </w:tc>
      </w:tr>
    </w:tbl>
    <w:p>
      <w:pPr>
        <w:pStyle w:val="TextBody"/>
        <w:bidi w:val="0"/>
        <w:spacing w:before="0" w:after="0"/>
        <w:ind w:left="1080" w:right="0" w:hanging="36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any collaborative, licensing, and other arrangements that we may establish.</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fundraising efforts may divert our management from their day-to-day activities, which may adversely affect our ability to develop and commercialize our products. In addition, we cannot guarantee that future financing will be available, when needed, in sufficient amounts or on terms acceptable to us, if at all. Moreover, the terms of any financing may adversely affect the holdings or the rights of our shareholders and the issuance of additional securities, whether equity or debt, by us, or the possibility of such issuance, may cause the market price of our ordinary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unfavorable to us, any of which may have a material adverse effect on our business, operating results and prospects. Even if we believe that we have sufficient funds for our current or future operating plans, we may seek additional capital if market conditions are favorable or if we have specific strategic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funding on a timely basis, we may be required to significantly curtail, delay or discontinue one or more of our research or development programs or the commercialization of our products or be unable to expand our operations or otherwise capitalize on our business opportunities, as desired, which could materially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would cause dilution to our existing shareholders, and may affect the rights of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additional capital through a combination of private and public equity offerings, debt financings and collaborations and strategic and licensing arrangements. To the extent that we raise additional capital through the issuance of equity or convertible debt securities, your ownership interest will be diluted, and the terms may include liquidation or other preferences that adversely affect your rights as a holder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entirely on the success of our current products in development, and we may not be able to successfully introduce these products and commercialize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almost all of our efforts and financial resources in the research, development and testing of our products in development. As a result, our business is entirely dependent on our ability to complete the development of, and to successfully commercialize, our product candidates. The process of development and commercialization is long, complex, costly and uncertain of outcome. While we have several ongoing tests with train operators through which we hope to demonstrate our technology, we cannot assure you that any of these programs will result in subsequent sales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in products could give rise to product returns or product liability, warranty or other claims that could result in material expenses, diversion of management time and attention, and damage to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introducing our products to the market, our products may contain undetected defects or errors that, despite testing, are not discovered until after a product has been used. Specifically, our safety device is complex and could have, or could be alleged to have, defects in design or manufacturing or other errors or failures. This could result in delayed market acceptance of those products, claims from distributors, end-users or others, increased end-user service and support costs and warranty claims, damage to our reputation and business, or significant costs to correct the defect or error. Furthermore, we face a risk of exposure to claims in the event that our products are used in connection with autonomous train operations, and do not perform as expected or experience a malfunction that results in personal injury or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claim brought against us, regardless of its merit, could result in material expense, diversion of management time and attention, and damage to our reputation, and could cause us to fail to retain or attract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maintain a limited coverage of product liability insurance, which could materially affect our financial condition in the event we have a product liability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maintain a limited coverage of product liability insurance in the amount of $3 million, which will be necessary prior to the commercialization of our products. It is likely that our current and/or any future product liability insurance that we will have in the future will be subject to significant deductibles and there is no guarantee that such insurance will be available or adequate to protect against all such claims, or we may elect to self-insure with respect to certain matters. Costs or payments made in connection with warranty and product liability claims and product recalls or other claims could materially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business may be adversely affected by changes in railway safety 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autonomous train industry continues to develop, regulators, including the U.S. Department of Transportation’s Federal Railroad Administration, or FRA, and the European Union Agency for Railways, or ERA, may adapt existing regulations and create new ones in order to ensure the compatibility of autonomous trains and autonomous train technology with regulatory expectations, requirements relating to safety and legal liability. On March 29, 2018, for instance, the FRA issued a formal Request For Information, or RFI, regarding the “future of automation in the railroad industry,” which is part of a broader effort by the U.S. Department of Transportation to advance the safe deployment of autonomous technologies. We cannot anticipate what regulations will materialize from the FRA’s RFI, or from parallel inquiries underway in other countries in which we operate. Likewise, we cannot predict the limitations, restrictions and controls nor the economic consequences flowing from such regulations. Should restrictive regulations apply, they could delay the introduction of autonomous train technology, cause us to redesign aspects of our products, impose additional costs and adversely affect our results of operations. We cannot assure you that we have been or will be at all times in complete compliance with such laws, regulations and permits.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financial condition may fluctuate.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introducing our products to the market, the operating results and financial condition of our company may fluctuate from quarter to quarter and year to year and are likely to continue to vary due to a number of factors, many of which will not be within our control. If our operating results do not meet the guidance that we provide to the marketplace or the expectations of securities analysts or investors, the market price of our ordinary shares will likely decline. Fluctuations in our operating results and financial condition may be due to a number of factors, including those listed below:</w:t>
      </w:r>
    </w:p>
    <w:p>
      <w:pPr>
        <w:pStyle w:val="TextBody"/>
        <w:bidi w:val="0"/>
        <w:spacing w:before="0" w:after="0"/>
        <w:ind w:left="0" w:right="0" w:firstLine="72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of market acceptance of our products and services;</w:t>
            </w:r>
          </w:p>
        </w:tc>
      </w:tr>
    </w:tbl>
    <w:p>
      <w:pPr>
        <w:pStyle w:val="TextBody"/>
        <w:bidi w:val="0"/>
        <w:spacing w:before="0" w:after="0"/>
        <w:ind w:left="1080" w:right="0" w:hanging="36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mix of products and services that we sell during any period;</w:t>
            </w:r>
          </w:p>
        </w:tc>
      </w:tr>
    </w:tbl>
    <w:p>
      <w:pPr>
        <w:pStyle w:val="TextBody"/>
        <w:bidi w:val="0"/>
        <w:spacing w:before="0" w:after="0"/>
        <w:ind w:left="1080" w:right="0" w:hanging="36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5"/>
        <w:gridCol w:w="170"/>
        <w:gridCol w:w="1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sale cycles;</w:t>
            </w:r>
          </w:p>
        </w:tc>
      </w:tr>
    </w:tbl>
    <w:p>
      <w:pPr>
        <w:pStyle w:val="TextBody"/>
        <w:bidi w:val="0"/>
        <w:spacing w:before="0" w:after="0"/>
        <w:ind w:left="1080" w:right="0" w:hanging="36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amount that we spend to develop, acquire or license new products, technologies or businesses;</w:t>
            </w:r>
          </w:p>
        </w:tc>
      </w:tr>
    </w:tbl>
    <w:p>
      <w:pPr>
        <w:pStyle w:val="TextBody"/>
        <w:bidi w:val="0"/>
        <w:spacing w:before="0" w:after="0"/>
        <w:ind w:left="1080" w:right="0" w:hanging="36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170"/>
        <w:gridCol w:w="61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amounts that we spend to promote our products and services;</w:t>
            </w:r>
          </w:p>
        </w:tc>
      </w:tr>
    </w:tbl>
    <w:p>
      <w:pPr>
        <w:pStyle w:val="TextBody"/>
        <w:bidi w:val="0"/>
        <w:spacing w:before="0" w:after="0"/>
        <w:ind w:left="1080" w:right="0" w:hanging="36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cost of satisfying our warranty obligations and servicing our installed base of systems;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between our expenditures to develop and market new or enhanced systems and the generation of sales from those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new competitive products and services by others;</w:t>
            </w:r>
          </w:p>
        </w:tc>
      </w:tr>
    </w:tbl>
    <w:p>
      <w:pPr>
        <w:pStyle w:val="TextBody"/>
        <w:bidi w:val="0"/>
        <w:spacing w:before="0" w:after="0"/>
        <w:ind w:left="1080" w:right="0" w:hanging="36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predicting sales patterns and reorder rates;</w:t>
            </w:r>
          </w:p>
        </w:tc>
      </w:tr>
    </w:tbl>
    <w:p>
      <w:pPr>
        <w:pStyle w:val="TextBody"/>
        <w:bidi w:val="0"/>
        <w:spacing w:before="0" w:after="0"/>
        <w:ind w:left="1080" w:right="0" w:hanging="360"/>
        <w:jc w:val="both"/>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75"/>
        <w:gridCol w:w="170"/>
        <w:gridCol w:w="71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threats of litigation, including intellectual property claims by third parties;</w:t>
            </w:r>
          </w:p>
        </w:tc>
      </w:tr>
    </w:tbl>
    <w:p>
      <w:pPr>
        <w:pStyle w:val="TextBody"/>
        <w:bidi w:val="0"/>
        <w:spacing w:before="0" w:after="0"/>
        <w:ind w:left="1080" w:right="0" w:hanging="36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70"/>
        <w:gridCol w:w="3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rules and tax laws;</w:t>
            </w:r>
          </w:p>
        </w:tc>
      </w:tr>
    </w:tbl>
    <w:p>
      <w:pPr>
        <w:pStyle w:val="TextBody"/>
        <w:bidi w:val="0"/>
        <w:spacing w:before="0" w:after="0"/>
        <w:ind w:left="1080" w:right="0" w:hanging="36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170"/>
        <w:gridCol w:w="3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regulations and standards;</w:t>
            </w:r>
          </w:p>
        </w:tc>
      </w:tr>
    </w:tbl>
    <w:p>
      <w:pPr>
        <w:pStyle w:val="TextBody"/>
        <w:bidi w:val="0"/>
        <w:spacing w:before="0" w:after="0"/>
        <w:ind w:left="1080" w:right="0" w:hanging="36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geographic distribution of our sales;</w:t>
            </w:r>
          </w:p>
        </w:tc>
      </w:tr>
    </w:tbl>
    <w:p>
      <w:pPr>
        <w:pStyle w:val="TextBody"/>
        <w:bidi w:val="0"/>
        <w:spacing w:before="0" w:after="0"/>
        <w:ind w:left="1080" w:right="0" w:hanging="36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responses to price competition;</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industry conditions that affect end-user demand and end-user levels of product design and manufacturing;</w:t>
            </w:r>
          </w:p>
        </w:tc>
      </w:tr>
    </w:tbl>
    <w:p>
      <w:pPr>
        <w:pStyle w:val="TextBody"/>
        <w:bidi w:val="0"/>
        <w:spacing w:before="0" w:after="0"/>
        <w:ind w:left="1080" w:right="0" w:hanging="36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that affect returns on our cash balances and short-term investments;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dollar-NIS exchange rates that affect the value of our net assets, future revenues and expenditures from and/or relating to our activities carried out in those currencies;</w:t>
            </w:r>
          </w:p>
        </w:tc>
      </w:tr>
    </w:tbl>
    <w:p>
      <w:pPr>
        <w:pStyle w:val="TextBody"/>
        <w:bidi w:val="0"/>
        <w:spacing w:before="0" w:after="0"/>
        <w:ind w:left="1080" w:right="0" w:hanging="36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170"/>
        <w:gridCol w:w="5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research and development activities by our company; and</w:t>
            </w:r>
          </w:p>
        </w:tc>
      </w:tr>
    </w:tbl>
    <w:p>
      <w:pPr>
        <w:pStyle w:val="TextBody"/>
        <w:bidi w:val="0"/>
        <w:spacing w:before="0" w:after="0"/>
        <w:ind w:left="1080" w:right="0" w:hanging="36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end-use/end-user governmental regulation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all of the foregoing factors, and the other risks discussed herein, you should not rely on quarter to quarter and year to year comparisons of our operating results as an indicator of our future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participate are competitive. Even if we are successful in completing the development of our products in development, our failure to compete successfully could cause any future revenues and the demand for our products not to materialize or to decline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aim to sell our products to train operators and/or rolling stock manufacturers. Many of our current and potential competitors have extensive track records and relationships within the rail industry and/or the automotive industry. Many of our current and potential competitors have longer operating histories and more extensive name recognition than we have and may also have greater financial, marketing, manufacturing, distribution and other resources than we have. Current and future competitors may be able to respond more quickly to new or emerging technologies and changes in customer demands and to devote greater resources to the development, promotion and sale of their products than we can. Our current and potential competitors may develop and market new technologies that render our existing or future products obsolete, unmarketable or less competitive (whether from a price perspective or otherwise). We cannot assure you that we will be able to establish a competitive position or to compete successfully against current and future sources of 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relationships with suppliers for our products and services, especially with single source suppliers of components of our products, were to terminate or our manufacturing arrangements were to be disrupted, our business could be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component parts that are used in our products from third-party suppliers. While there are several potential suppliers of most of these component parts that we use, we currently choose to use only one or a limited number of suppliers for several of these components. Our reliance on a single or limited number of vendors involves a number of risks, including:</w:t>
      </w:r>
    </w:p>
    <w:p>
      <w:pPr>
        <w:pStyle w:val="TextBody"/>
        <w:bidi w:val="0"/>
        <w:spacing w:before="0" w:after="0"/>
        <w:ind w:left="0" w:right="0" w:firstLine="72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shortages of some key components;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performance shortfalls, if traceable to particular product components, since the supplier of the faulty component cannot readily be replaced;</w:t>
            </w:r>
          </w:p>
        </w:tc>
      </w:tr>
    </w:tbl>
    <w:p>
      <w:pPr>
        <w:pStyle w:val="TextBody"/>
        <w:bidi w:val="0"/>
        <w:spacing w:before="0" w:after="0"/>
        <w:ind w:left="1080" w:right="0" w:hanging="36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170"/>
        <w:gridCol w:w="3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discontinuation of a product on which we rely;</w:t>
            </w:r>
          </w:p>
        </w:tc>
      </w:tr>
    </w:tbl>
    <w:p>
      <w:pPr>
        <w:pStyle w:val="TextBody"/>
        <w:bidi w:val="0"/>
        <w:spacing w:before="0" w:after="0"/>
        <w:ind w:left="1080" w:right="0" w:hanging="36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delays of several months in the delivery of components in the event a replacement product is sought;</w:t>
            </w:r>
          </w:p>
        </w:tc>
      </w:tr>
    </w:tbl>
    <w:p>
      <w:pPr>
        <w:pStyle w:val="TextBody"/>
        <w:bidi w:val="0"/>
        <w:spacing w:before="0" w:after="0"/>
        <w:ind w:left="1080" w:right="0" w:hanging="36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170"/>
        <w:gridCol w:w="3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insolvency of these vendors; and</w:t>
            </w:r>
          </w:p>
        </w:tc>
      </w:tr>
    </w:tbl>
    <w:p>
      <w:pPr>
        <w:pStyle w:val="TextBody"/>
        <w:bidi w:val="0"/>
        <w:spacing w:before="0" w:after="0"/>
        <w:ind w:left="1080" w:right="0" w:hanging="36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control over delivery schedules, manufacturing capabilities, quality and costs.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require any new supplier to become “qualified” pursuant to our internal procedures. The qualification process involves evaluations of varying durations, which may cause production delays if we were required to qualify a new supplier unexpectedly. We generally assemble our systems and parts based on our internal forecasts and the availability of assemblies, components and finished goods that are supplied to us by third parties, which are subject to various lead times. If certain suppliers were to decide to discontinue production of an assembly, or component that we use, the unanticipated change in the availability of supplies, or unanticipated supply limitations, could cause delays in, or loss of, sales, increased production or related costs and consequently reduced margins, and damage to our reputation. If we were unable to find a suitable supplier for a particular component or compound, we could be required to modify our existing products or the end-parts that we offer to accommodate substitute components or compounds.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some of our agreements, customers require the ability to maintain systems for a period of at least ten years. During such a long period, there is a risk that some of the system components of our products will become obsolete and will not be available from our suppliers. Therefore, there is a risk that we will be obliged to hold an inventory of components that may become obsolete, or be forced to locate or develop alternatives to such components.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Discontinuation of operations at our and third-parties’ manufacturing sites could prevent us from timely filling customer orders and could lead to unforeseen costs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assemble and test the systems that we sell at single facilities in various locations that are specifically dedicated to separate categories of systems. Because of our reliance on all of these production facilities, a disruption at any of those facilities could materially damage our ability to supply our products to the marketplace in a timely manner. Depending on the cause of the disruption, we could also incur significant costs to remedy the disruption and resume product shipments. Such disruptions may be caused by, among other factors, earthquakes, fire, flood and other natural disasters. Accordingly, any such disruption could result in a material adverse effect on our revenue, results of operations and earnings, and could also potentially damage our reputation. Additionally, we rely on third-party manufacturers for components of our products, and we do not have control over the facilities of these third-party manufacturers.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planned international operations will expose us to additional market and operational risks, and failure to manage these risks may adversely affect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derive a substantial percentage of our sales from international markets. Accordingly, we will face significant operational risks from doing business internationally, including:</w:t>
      </w:r>
    </w:p>
    <w:p>
      <w:pPr>
        <w:pStyle w:val="TextBody"/>
        <w:bidi w:val="0"/>
        <w:spacing w:before="0" w:after="0"/>
        <w:ind w:left="0" w:right="0" w:firstLine="72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to ship and/or manufacture overseas;</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cultural barriers sustained by conducting business activity in foreign countries;</w:t>
            </w:r>
          </w:p>
        </w:tc>
      </w:tr>
    </w:tbl>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foreign currency exchange rates;</w:t>
            </w:r>
          </w:p>
        </w:tc>
      </w:tr>
    </w:tbl>
    <w:p>
      <w:pPr>
        <w:pStyle w:val="TextBody"/>
        <w:bidi w:val="0"/>
        <w:spacing w:before="0" w:after="0"/>
        <w:ind w:left="1080" w:right="0" w:hanging="36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longer sales and payment cycles;</w:t>
            </w:r>
          </w:p>
        </w:tc>
      </w:tr>
    </w:tbl>
    <w:p>
      <w:pPr>
        <w:pStyle w:val="TextBody"/>
        <w:bidi w:val="0"/>
        <w:spacing w:before="0" w:after="0"/>
        <w:ind w:left="1080" w:right="0" w:hanging="36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75"/>
        <w:gridCol w:w="170"/>
        <w:gridCol w:w="5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greater difficulties in collecting accounts receivable;</w:t>
            </w:r>
          </w:p>
        </w:tc>
      </w:tr>
    </w:tbl>
    <w:p>
      <w:pPr>
        <w:pStyle w:val="TextBody"/>
        <w:bidi w:val="0"/>
        <w:spacing w:before="0" w:after="0"/>
        <w:ind w:left="1080" w:right="0" w:hanging="36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adverse tax consequences;</w:t>
            </w:r>
          </w:p>
        </w:tc>
      </w:tr>
    </w:tbl>
    <w:p>
      <w:pPr>
        <w:pStyle w:val="TextBody"/>
        <w:bidi w:val="0"/>
        <w:spacing w:before="0" w:after="0"/>
        <w:ind w:left="1080" w:right="0" w:hanging="36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of intellectual property rights in certain countries, particularly in Asia and South America;</w:t>
            </w:r>
          </w:p>
        </w:tc>
      </w:tr>
    </w:tbl>
    <w:p>
      <w:pPr>
        <w:pStyle w:val="TextBody"/>
        <w:bidi w:val="0"/>
        <w:spacing w:before="0" w:after="0"/>
        <w:ind w:left="1080" w:right="0" w:hanging="36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foreign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70"/>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business practices favoring local competition;</w:t>
            </w:r>
          </w:p>
        </w:tc>
      </w:tr>
    </w:tbl>
    <w:p>
      <w:pPr>
        <w:pStyle w:val="TextBody"/>
        <w:bidi w:val="0"/>
        <w:spacing w:before="0" w:after="0"/>
        <w:ind w:left="1080" w:right="0" w:hanging="36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difficulties of customizing products for foreign countries;</w:t>
            </w:r>
          </w:p>
        </w:tc>
      </w:tr>
    </w:tbl>
    <w:p>
      <w:pPr>
        <w:pStyle w:val="TextBody"/>
        <w:bidi w:val="0"/>
        <w:spacing w:before="0" w:after="0"/>
        <w:ind w:left="1080" w:right="0" w:hanging="36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70"/>
        <w:gridCol w:w="6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 wide variety of complex foreign laws, treaties and regulations;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tariffs, trade barriers and other regulatory or contractual limitations on our ability to sell or develop our products in certain foreign markets; and</w:t>
            </w:r>
          </w:p>
        </w:tc>
      </w:tr>
    </w:tbl>
    <w:p>
      <w:pPr>
        <w:pStyle w:val="TextBody"/>
        <w:bidi w:val="0"/>
        <w:spacing w:before="0" w:after="0"/>
        <w:ind w:left="1080" w:right="0" w:hanging="36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the laws, regulations and the court systems of many jurisdictions.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manage the market and operational risks associated with our international operations effectively could limit the future growth of our business and adversely affect our operating results.</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operations might be adversely affected by security breaches, including any cybersecurity incidents.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efficient and uninterrupted operation of our computer and communications systems, and those of our consultants, contractors and vendors, which we use for, among other things, sensitive company data, including our intellectual property, financial data and other proprietary business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of our operations have business continuity and disaster recovery plans and other security measures intended to prevent and minimize the impact of IT-related interruptions, our IT infrastructure and the IT infrastructure of our consultants, contractors and vendors are vulnerable to damage from cyberattacks, computer viruses, unauthorized access, electrical failures and natural disasters or other catastrophic events. We could experience failures in our information systems and computer servers, which could result in an interruption of our normal business operations and require substantial expenditure of financial and administrative resources to remedy. System failures, accidents or security breaches can cause interruptions in our operations and can result in a material disruption of our targeted phage therapies, product candidates and other business operations. The loss of data from completed or future studies or clinical trials could result in delays in our research, development or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regulatory investigations and redresses, penalties and liabilities and the development of our product candidates could be delayed or otherwise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we believe we carry commercially reasonable business interruption and liability insurance, we might suffer losses as a result of business interruptions that exceed the coverage available under our insurance policies or for which we do not have coverage. For example, we are not insured against terrorist attacks or cyberattacks. Any natural disaster or catastrophic event could have a significant negative impact on our operations and financial results. Moreover, any such event could delay the development of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data ownership and privacy regulations which may expose us to lawsuits and sanctions for violations.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General Data Protection Regulation, GDPR, of the European Union, there are general restrictions regarding the photographing of images without the knowledge and permission of the person being photographed. In this context, the information collected by our system’s detection units must be protected and encrypted. Failure to comply with these regulations under the GDPR may expose us to lawsuits and sanctions for such violations. In addition, the ownership of the information collected through our system’s detection units is determined in accordance with the local law under which the train operates and will usually remain the property of the customer, with us receiving only limited permission to make use of the information for system improvement but not for other uses, and all subject to the provisions of the said law. These limitations may impede the implementation of our plans to develop certain services through the processing of information obtained by the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certain U.S. and foreign anticorruption, anti-money laundering, export control, sanctions and other trade laws and regulations. We can face serious consequences for violations.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U.S. and foreign tax laws could have a material adverse effect on our business, cash flow, results of operations or financial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taxation in several countries, including the United States and Israel; changes in tax laws or challenges to our tax positions could adversely affect our business, results of operations, and financial condition. As such, we are subject to tax laws, regulations, and policies of the U.S. federal, state, and local governments and of comparable taxing authorities in foreign jurisdictions. Changes in tax laws, as well as other factors, could cause us to experience fluctuations in our tax obligations and effective tax rates in the future and otherwise adversely affect our tax positions and/or our tax liabilities. There can be no assurance that our effective tax rates, tax payments, tax credits, or incentives will not be adversely affected by changes in tax laws in various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successfully manage our planned growth and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make investments in our products in development. We expect that our annual operating expenses will continue to increase as we invest in business development, marketing, research and development, manufacturing and production infrastructure, and develop customer service and support resources for future customers. Failure to expand operational and financial systems timely or efficiently may result in operating inefficiencies, which could increase costs and expenses to a greater extent than we anticipate and may also prevent us from successfully executing our business plan. We may not be able to offset the costs of operation expansion by leveraging the economies of scale from our growth in negotiations with our suppliers and contract manufacturers. Additionally, if we increase our operating expenses in anticipation of the growth of our business and this growth falls short of our expectations, our financial results will be negatively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business grows, we will have to manage additional product design projects, materials procurement processes, and sales efforts and marketing for an increasing number of products, as well as expand the number and scope of our relationships with suppliers, distributors and end customers. If we fail to manage these additional responsibilities and relationships successfully, we may incur significant costs, which may negatively impact our operating results. Additionally, in our efforts to develop new products with innovative functionality and features, we may devote significant research and development resources to products and product features for which a market does not develop quickly, or at all. If we are not able to predict market trends accurately, we may not benefit from such research and development activities, and our results of operations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process to reduce our operational costs, in December 2023, we took steps to lower our expenses through a targeted reduction in headcount of our employee base by 12 employees representing approximately 20% of our workforce. We expect that the resource adjustment to result in a significant reduction in fixed costs, including salaries and professional services and we will continue to evaluate our needed resources on an ongoing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in part on our ability to retain our executive officers and to attract, retain and motivate other qualified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services of our executive officers, senior management and qualified employees. The loss of their services without proper replacement may adversely impact the achievement of our objectives. Also, our performance is largely dependent on the talents and efforts of highly skilled individuals, particularly our software engineers. Recruiting and retaining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in the industry in which we operate. Moreover, certain of our competitors or other technology businesses may seek to hire our employees. The inability to recruit and retain qualified personnel, or the loss of the services of our executive officers, without proper replacement, may impede the progress of our development and commercialization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applicable employment laws, we may not be able to enforce covenants not to compete and therefore may be unable to prevent our competitors from benefiting from the expertise of some of our former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non-competition agreements with our employees. These agreements prohibit our employees from competing directly with us or working for our competitors or clients for a limited period after they cease working for us.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Any resurgence of the COVID-19 pandemic could adversely affect our business, financial condition and results of operations.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 epidemics or outbreaks could adversely impact our business. In late 2019, a novel strain of COVID-19, also known as coronavirus, was reported in Wuhan, China. Initially the outbreak was largely concentrated in China, but it rapidly spread to countries across the globe, including in Israel and the United States. Many countries around the world, including in Israel and the United States, implemented significant governmental measures to control the spread of the virus, including temporary closure of businesses, severe restrictions on travel and the movement of people, and other material limitations on the conduct of business. In response, for several months in 2020, we implemented remote working and workplace protocols for our employees in accordance Israeli Ministry of Health requirements to ensure employee safety and all employees have been instructed on and encouraged to practice best social distancing behaviors.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resurgence of COVID-19 its spread may materially affect us economically. While the potential economic impact brought by, and the duration of, any future resurgence of the COVID-19 pandemic may be difficult to assess or predict, it has already caused, and could result in further,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ordinary shares or other securities and such sales may be on unfavorable terms. To the extent that future waves of COVID-19 disrupt normal business operations, we may face operational challenges with our services, and we likely will have to adopt remote working and workplace protocols for employees in accordance with government requirements and other measures to minimize such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COVID-19 impacts our operations will depend on future developments, which are highly uncertain and cannot be predicted with confidence, including the duration and severity of the outbreak, and the actions that may be required to contain COVID-19 or treat its impact. In particular, the extent to which any resurgence of the COVID-19 pandemic may impact our business and financial performance will depend on future developments, which are highly uncertain and cannot be predicted with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events, developments, or social media posts and interactions may impact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reputation can be the result of the actual or perceived occurrence of any number of events, and could include any negative publicity, whether true or not. The increased usage of social media and other web-based tools used to generate, publish and discuss user-generated content and to connect with other users has made it increasingly easy for individuals and groups to communicate and share opinions and views in regard to issuers and their activities, whether true or not. Negative posts or comments about us on any social network could damage our reputation. In addition, employees or others might disclose non-public sensitive information related to our business through external media channels. The continuing evolution of social media will present us with new challenges and risks. We do not ultimately have direct control over how we are perceived by others. Reputation loss may result in decreased investor confidence, increased challenges in developing and maintaining community relations and an impediment to our overall ability to advance our business strategy and realize on our growth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previously identified material weaknesses in our internal control over financial reporting, which have been remediated. If we identify additional material weaknesses in the future or otherwise fail to maintain an effective system of internal controls, we may not be able to produce timely and accurate financial statements, and we or our independent registered public accounting firm may conclude that our internal control over financial reporting is not effective, which could adversely affect our investors’ confidence and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our management is required to report upon the effectiveness of our internal control over financial reporting under Section 404 of the Sarbanes-Oxley Act. Our independent registered public accounting firm is not required to formally attest to the effectiveness of our internal control over financial reporting until the date we are no longer an emerging growth company and reach accelerated filer status.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financial statements or identify other areas for further attention or improvement. As previously disclosed, in connection with our financial statement close process for 2021, we identified a material weakness in our entity level control components relating to documenting our financial reporting process. As a result of our remediation activities and based on testing of the new and modified controls for operating effectiveness, our management concluded that we remediated the previously reported material weakness as of December 31, 2022. While we have remediated such material weaknesses, we cannot assure you that we have identified all material weaknesses or that there will not be additional material weaknesses or deficiencies that we will identify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operating results and growth rates may be adversely affected by current or future unfavorable economic and market conditions and adverse developments with respect to financial institutions and associated liquidity risk.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economic health of the global economies. If the conditions in the global economies remain uncertain or continue to be volatile, or if they deteriorate, including as a result of the impact of military conflict, such as the war between Russia and Ukraine, terrorism or other geopolitical events, our business, operating results and financial condition may be materially adversely affected. Economic weakness, inflation and increases in interest rates, limited availability of credit, liquidity shortages and constrained capital spending have at times in the past resulted, and may in the future result, in challenging and delayed sales cycles, slower adoption of new technologies and increased price competition, and could negatively affect our ability to forecast future periods, which could result in an inability to satisfy demand for our products and a loss of market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increases in inflation raise our costs for commodities, labor, materials and services and other costs required to grow and operate our business, and failure to secure these on reasonable terms may adversely impact our financial condition. Additionally, increases in inflation, along with the uncertainties surrounding any resurgence of COVID-19,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current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alter our operating plans. In addition, there is a risk that one or more of our service providers, financial institutions, manufacturers, suppliers and other partners may be adversely affected by the foregoing risks, which could directly affect our ability to attain our operating goals on schedule and on budget.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social and corporate governance, or ESG, issues, including those related to climate change and sustainability, may have an adverse effect on our business, financial condition and results of operations and damage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regulatory requirements or investor, customer, consumer, employee or other shareholders’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our reputation, brand and employee retention may be negatively impacted, and our customers and suppliers may be unwilling to continue to do business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consumers, investors and other shareholders are increasingly focusing on environmental issues, including climate change, energy and water use, plastic waste and other sustainability concerns. Concern over climate change may result in new or increased legal and regulatory requirements to reduce or mitigate impacts to the environment. Changing customer and consumer preferences or increased regulatory requirements may result in increased demands or requirements regarding plastics and packaging materials, including single-use and non-recyclable plastic products and packaging, other components of our products and their environmental impact on sustainability, or increased customer and consumer concerns or perceptions (whether accurate or inaccurate) regarding the effects of substances present in certain of our products. Complying with these demands or requirements could cause us to incur additional manufacturing, operating or product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adapt to or comply with new regulations, including the SEC’s rules that were adopted in March 2024 that require companies to provide expanded climate-related disclosures in their periodic reporting. The SEC’s climate disclosure rules, if they withstand litigation challenges, would require us to incur significant additional costs to comply and impose increased oversight obligations on our management and board of directors, or fail to meet evolving investor, industry or stakeholder expectations and concerns regarding ESG issues, investors may reconsider their capital investment in our Company, we may become subject to penalties, and customers and consumers may choose to stop purchasing our products, if approved for commercialization, which could have a material adverse effect on our reputation, business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and maintain effective patent rights for our products, we may not be able to compete effectively in our markets. If we are unable to protect the confidentiality of our trade secrets or know-how, such proprietary information may be used by others to compete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relied on trade secret protection and confidentiality agreements to protect the intellectual property related to our technologies and products. Since our incorporation, we have also sought patent protection for certain of our products. Our success depends in large part on our ability to obtain and maintain patent and other intellectual property protection in the United States and in other countries with respect to our proprietary technology and new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sought to protect our proprietary position by filing patent applications in the United States and in other countries with respect to our novel technologies and products, which are important to our business. Patent prosecution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growing portfolio of seven patents registered in the USA; four patent registered in China; one patent registered from the European Patent Office (EPO) and being validated in Germany, Switzerland, Hungary, Austria, Denmark, France and Great Britain; two patent issued in Japan; 17 pending patent applications, of which two are US provisional patent applications and 14 are national phase patent applications filed in the USA, EPO, China, Japan and India under the provisions of the Patent Cooperation Treaty (PCT) through World Intellectual Property Organization (WIPO); and one of which is a patent application in Hong Kong and requested based on the Chinese national phase patent application. We cannot offer any assurances about which, if any, patent applications will be issued, the breadth of any such patent once issued, or whether any issued patents will be found invalid or unenforceable or will be threatened by third parties. Any successful opposition to these patents or any other patents owned by or licensed to us could deprive us of rights necessary for the successful commercialization of any existing or new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there is no guarantee that the patent registration applications that were submitted by us with regards to our technologies will result in patent registration. In the event of failure to complete patent registration, the Company’s developments will not be proprietary, which might allow other entities to manufacture the Company’s products and compete with 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there is no assurance that all potentially relevant prior art relating to our patent applications has been found, which can invalidate a patent or prevent a patent from issuing from a pending patent application. Even if patents do successfully issue, and even if such patents cover our products, third parties may challenge their validity, enforceability or scope, which may result in such patents being narrowed, found unenforceable or invalidated. Furthermore, even if they are unchallenged, our patent applications and any future patents may not adequately protect our intellectual property, provide exclusivity for our new products, or prevent others from designing around our claims. Any of these outcomes could impair our ability to prevent competition from third parties, which may have an adverse impact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obtain and maintain effective patent rights for our products, we may not be able to compete effectively, and our business and results of operations would be harmed.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maintain effective proprietary rights for our products, we may not be able to compete effectively in our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protection afforded by any patents that may be granted, we seek to protect our proprietary technology and processes, in part, by entering into confidentiality agreements with our employees, consultants, scientific advisors, and contractors. We also seek to preserve the integrity and confidentiality of our data, trade secrets and intellectual property by maintaining physical security of our premises and physical and electronic security of our information technology systems. Agreements or security measures may be breached, and we may not have adequate remedies for any breach. In addition, our trade secrets and intellectual property may otherwise become known or be independently discovered by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any assurances that our trade secrets and other confidential proprietary information will not be disclosed in violation of our confidentiality agreements or that competitors will not otherwise gain access to our trade secrets or independently develop substantially equivalent information and techniques. Also, misappropriation or unauthorized and unavoidable disclosure of our trade secrets and intellectual property could impair our competitive position and may have a material adverse effect on our business. Additionally, if the steps taken to maintain our trade secrets and intellectual property are deemed inadequate, we may have insufficient recourse against third parties for misappropriating any trade secret.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rights of third parties could adversely affect our ability to commercialize our products, and we might be required to litigate or obtain licenses from third parties in order to develop or market our product candidates. Such litigation or licenses could be costly or not available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inherently difficult to conclusively assess our freedom to operate without infringing on third party rights. Our competitive position may be adversely affected if existing patents or patents resulting from patent applications issued to third parties or other third party intellectual property rights are held to cover our products or elements thereof, or our manufacturing or uses relevant to our development plans. In such cases, we may not be in a position to develop or commercialize products or our product candidates unless we successfully pursue litigation to nullify or invalidate the third party intellectual property right concerned, or enter into a license agreement with the intellectual property right holder, if available on commercially reasonable terms. There may also be pending patent applications that if they result in issued patents, could be alleged to be infringed by our products. If such an infringement claim should be brought and be successful, we may be required to pay substantial damages, be forced to abandon our products or seek a license from any patent holders. No assurances can be given that a license will be available on commercially reasonable terms,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we have failed to identify relevant third party patents or applications. For example, U.S. patent applications filed before November 29, 2000 and certain U.S. patent applications filed after that date that will not be filed outside the United States remain confidential until patents are issued. Patent applications in the United States and elsewhere are published approximately 18 months after the earliest filing for which priority is claimed, with such earliest filing date being commonly referred to as the priority date. Therefore, patent applications covering our new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pursuing the development of and/or marketing our products. If we fail in any such dispute, in addition to being forced to pay damages, we may be temporarily or permanently prohibited from commercializing our products that are held to be infringing. We might, if possible, also be forced to redesign our new products so that we no longer infringe the third 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policy and rule changes could increase the uncertainties and costs surrounding the prosecution of our patent applications and the enforcement or defense of any issued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either the patent laws or interpretation of the patent laws in the United States and other countries may diminish the value of any patents that may issue from our patent applications,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were the first to file the invention claimed in our owned and licensed patent or pending applications, or that we or our licensor were the first to file for patent protection of such inventions. Assuming all other requirements for patentability are met, in the United States prior to March 15, 2013, the first to make the claimed invention without undue delay in filing,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In general, the Leahy-Smith Act and its implementation could increase the uncertainties and costs surrounding the prosecution of our patent applications and the enforcement or defense of any issued patents, all of which could have a material adverse effect on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involved in lawsuits to protect or enforce our intellectual property, which could be expensive, time consuming, and unsuccessful.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our intellectual property. If we were to initiate legal proceedings against a third party to enforce a patent covering one of our products,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the USPTO, or made a misleading statement, during prosecution. Under the Leahy-Smith Act, the validity of U.S. patents may also be challenged in post-grant proceedings before the USPTO. The outcome following legal assertions of invalidity and unenforceability is unpredictable.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Derivation proceedings initiated by third parties or brought by us may be necessary to determine the priority of inventions and/or their scope with respect to our patent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research programs, license necessary technology from third parties, or enter into development partnerships that would help us bring our products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challenging the inventorship of our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that former employees, collaborators or other third parties have an interest in, or right to compensation, with respect to our current patent and patent applications, future patents or other intellectual property as an inventor or co-inventor. For example, we may have inventorship disputes arise from conflicting obligations of consultants or others who are involved in developing our products. Litigation may be necessary to defend against these and other claims challenging inventorship or claiming the right to compensation. If we fail in defending any such claims, in addition to paying monetary damages, we may lose valuable intellectual property rights, such as exclusive ownership of, or rights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case law clarifies that the right to receive consideration for “service inventions” can be waived by the employee.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enter into assignment-of-invention agreements with our employees pursuant to which such individuals assign to us all rights to any inventions created in the scope of their employment or engagement with us, we may face claims demanding remuneration in consideration of assigned inventions. As a consequence of such claims, we could be required to pay additional remuneration or royalties to our current and former employees, or be forced to litigate such claims, which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protect our intellectual property rights throughout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prosecuting, and defending patents on products, as well as monitoring their infringement in all countries throughout the world, would be prohibitively expensive, and our intellectual property rights in some countries can be less extensive than those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use our technologies in jurisdictions where we have not obtained patent protection to develop their own products and may also export otherwise infringing products to territories where we have patent protection but enforcement is not as strong as that in the United States. These products may compete with our products. Future patents or other intellectual property rights may not be effective or sufficient to prevent such products from competing with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monitor and enforce our intellectual property rights around the world may be inadequate to obtain a significant commercial advantage from the intellectual property that we develop or license.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principal shareholders, officers and directors beneficially own approximately 13.8% of our outstanding ordinary shares. They will therefore be able to exert significant control over matters submitted to our shareholders for approval, which could limit your ability to influence the outcome of key transactions, including a change of control, and which may result in conflicts with us or you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shareholders, officers and directors beneficially own approximately 13.8% of our ordinary shares. This significant concentration of share ownership may adversely affect the trading price for our ordinary shares because investors often perceive disadvantages in owning shares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and which may result in conflicts with us or you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directors have relationships with our principal shareholders, which may cause conflicts of interest with respect to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current directors, who was appointed by our board of directors, is an employee of Knorr-Bremse Systeme für Schienenfahrzeuge GmbH, or Knorr-Bremse, our largest shareholder. In addition, pursuant to the Facility Agreement (as defined below) that we entered into in January 2024, two of our current directors were nominated by L.I.A. Pure Capital Ltd., or Pure Capital, and appointed by our board of directors. Pursuant to our amended and restated articles of association, shareholders are entitled to appoint a director to our board of directors for each 10% of our outstanding share capital that they own and in such case the appointment will be for an undefined period. As a result, these directors may face real or apparent conflicts of interest with respect to matters affecting both us and Knorr-Bremse, whose interests may be adverse to ours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we remain an “emerging growth company” as defined in the JOBS Act, we intend to take advantage of certain exemptions from various requirements that are applicable to public companies that are not “emerging growth companies”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Sarbanes-Oxley Act requiring that our independent registered public accounting firm provide an attestation report on the effectiveness of our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rules that may be adopted by the Public Company Accounting Oversight Board requiring mandatory audit firm rotation or a supplement to the auditor’s report on the financial statements;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which provides that an “emerging growth company” can take advantage of the extended transition period provided in Section 7(a)(2)(B) of the Securities Act of 1933, as amended, or the Securities Act, for complying with new or revised accounting standards. This means that an “emerging growth company” can delay the adoption of certain accounting standards until those standards would otherwise apply to private companies. We have elected to delay such adoption of new or revised accounting standards. As a result of this adoption, our financial statements may not be comparable to companies that comply with the public company effective date.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take advantage of these exemptions until we are no longer an “emerging growth company.” We will remain an emerging growth company until the earlier of (1) the last day of the fiscal year (a) following the fifth anniversary of the date of our first sale of common equity securities pursuant to an effective registration statement under the Securities Act, (b) in which we have total annual gross revenue of at least $1.07 billion, or (c) in which we are deemed to be a large accelerated filer, which means the market value of our ordinary shares that is held by non-affiliates exceeds $700 million as of the prior June 30, and (2) the date on which we have issued more than $1.0 billion in non-convertible debt during the prior three-year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ordinary shares less attractive because we may rely on these exemptions. If some investors find our ordinary shares less attractive as a result, there may be a less active trading market for our ordinary shares, and our market prices may be more volatile and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Also, although the Israeli Companies Law, or the Companies Law, will require us to disclose the annual compensation of our five most highly compensated senior officers on an individual basis, this disclosure will not be as extensive as that required of a U.S. domestic issuer. For example, the disclosure required under the Companies Law is limited to compensation paid in the immediately preceding year without any requirement to disclose option exercises and vested stock options, pension benefits or potential payments upon termination or a change of control. Furthermore, as a foreign private issuer, we are also not subject to the requirements of Regulation FD (Fair Disclosure)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exemptions and leniencies will reduce the frequency and scope of information and protections to which you are entitled as an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 “passive foreign investment company,” or PFIC, for U.S. federal income tax purposes in the current taxable year or may become one in any subsequent taxable year. There generally would be negative tax consequences for U.S. taxpayers that are holders of our ordinary shares if we are or were to become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projected composition of our income and valuation of our assets, we may have been a PFIC during 2023, and although we have not determined whether we will be a PFIC in 2024, or in any subsequent year, our operating results for any such years may cause us to be a PFIC. The determination of whether we are a PFIC is made on an annual basis and will depend on the composition of our income and assets from time to time. Generally, we will be treated as a PFIC for U.S. federal income tax purposes in any taxable year in which either (1) at least 75% of our gross income is “passive income” or (2) on quarterly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The tests for determining PFIC status are applied annually and it is difficult to make accurate projections of future income and assets which are relevant to this determination. In addition, our PFIC status may depend in part on the market value of our ordinary shares. Accordingly, there can be no assurance that we currently are not or will not become a PFIC in the future. If we are a PFIC in any taxable year during which a U.S. Holder (as defined below) holds our ordinary shares, such U.S. Holder would be subject to certain adverse U.S. federal income tax rules, including increased tax liability on gains from dispositions of our ordinary shares and certain distributions and a requirement to file annual reports with the Internal Revenue Service, or IRS. Certain adverse consequences of PFIC status may be alleviated if a U.S. Holder makes a “mark to market” election or an election to treat us as a qualified electing fund, or QEF. These elections would result in an alternative treatment (such as mark-to-market treatment) of our ordinary shares. It is not expected that a U.S. Holder will be able to make a QEF election because we do not intend to provide U.S. Holders with the information necessary to make a QEF Election. In addition, if the IRS determines that we are a PFIC for a year with respect to which we have determined that we were not a PFIC, it may be too late for a U.S. Holder to make a timely QEF or mark-to-market election. U.S. Holders that have held our ordinary shares during a period when we were a PFIC will be subject to the foregoing rules, even if we cease to be a PFIC in subsequent years, subject to exceptions for U.S. Holders who made a timely QEF or mark-to-market election. We do not intend to notify U.S. taxpayers that hold our ordinary shares if we believe we will be treated as a PFIC for any taxable year in order to enable U.S. taxpayers to consider whether to make a QEF election. U.S. Holders that hold our ordinary shares are strongly urged to consult their tax advisors about the PFIC rules, including tax return filing requirements and the eligibility, manner, and consequences to them of making a QEF or mark-to-market election with respect to our ordinary shares in the event that we are a PFIC. See “Item 10.E —Taxation — Certain Material U.S. Federal Income Tax Considerations — Passive Foreign Investment Companies” for additional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United States person is treated as owning at least 10% of our ordinary shares, such holder may be subject to adverse U.S. federal income tax consequences.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United States person is treated as owning (directly, indirectly or constructively) at least 10% of the value or voting power of our ordinary shares, such person may be treated as a “United States shareholder” with respect to each “controlled foreign corporation” in our group (if any). A United States shareholder of a controlled foreign corporation may be required to annually report and include in its U.S. taxable income its pro rata share of “Subpart F income,” “global intangible low-taxed income” and investments in U.S. property by controlled foreign corporations, whether or not we make any distributions, and may be subject to tax reporting obligations. An individual that is a United States shareholder with respect to a controlled foreign corporation generally would not be allowed certain tax deductions or foreign tax credits that would be allowed to a United States shareholder that is a U.S. corporation. A failure to comply with these reporting obligations may subject you to significant monetary penalties and may prevent the statute of limitations with respect to your U.S. federal income tax return for the year for which reporting was due from starting. We cannot provide any assurances that we will assist any shareholder in determining whether such shareholder is treated as a United States shareholder with respect to any “controlled foreign corporation” in our group (if any) or furnish to any United States shareholders information that may be necessary to comply with the aforementioned reporting and tax paying obligations. A United States investor should consult its tax advisors regarding the potential application of these rules to its investment in our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management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securities may be highly volatile, and you could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and warrants is likely to be volatile. This volatility may prevent you from being able to sell your ordinary shares or warrants at or above the price you paid for your securities. Our share price could be subject to wide fluctuations in response to a variety of factors, which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achieve our anticipated corporate objectives;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or annual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financial or operational estimates or projections;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operational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lock-up agreement or other restrictions on the ability of our shareholders to sell shares after the initial public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economic performance or market valuations of companies similar to ours;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or political conditions in the United States or elsewhere.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has experienced extreme price and volume fluctuations that have often been unrelated or disproportionate to the operating performance of these companies. Broad market and industry factors may negatively affect the market price of our ordinary shares, regardless of our actual operating performance, and we have little or no control over these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adversely change their recommendations or publish negative reports regarding our business or the ordinary shares, our share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the ordinary shares, or provide more favorable relative recommendations about our competitors, the price of our ordinary shares would likely decline. If any analyst who may cover us were to cease coverage of our company or fail to regularly publish reports on us, we could lose visibility in the financial markets, which in turn could cause the price of our ordinary shares or trading volume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and intend, to follow certain home country corporate governance practices instead of otherwise applicable SEC and Nasdaq Capital Market requirements, which may result in less protection than is accorded to investors under rules applicable to domestic U.S.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and are not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or proxy statements that comply with the requirements applicable to U.S. domestic reporting companies. Furthermore, although under regulations promulgated under the Companies Law, as an Israeli public company listed overseas we will be required to disclose the compensation of our five most highly compensated office holders on an individual basis (rather than on an aggregate basis), this disclosure will not be as extensive as that required of U.S. domestic reporting companies. We will also have four months after the end of each fiscal year to file our annual reports with the SEC and will not be required to file current reports as frequently or promptly as U.S. domestic reporting companies. Furthermore, our officers, directors and principal shareholders will be exempt from the requirements to report transactions and short-swing profit recovery required by Section 16 of the Exchange Act. Also, as a “foreign private issuer,” we are not subject to the requirements of Regulation FD (Fair Disclosure) promulgated under the Exchange Act. These exemptions and leniencies will reduce the frequency and scope of information and protections available to investors in comparison to those applicable to a U.S. domestic reporting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“foreign private issuer,” we are permitted to follow certain home country corporate governance practices instead of those otherwise required under the listing rules of the Nasdaq for domestic U.S. issuers. For instance, we follow home country practice in Israel instead of the listing rules of the Nasdaq requiring that a majority of a listed company’s board of directors be comprised of independent directors within a specified period after listing. In addition, we will follow our home country law instead of the listing rules of the Nasdaq that require that we obtain shareholder approval for certain dilutive events, such as the establishment or amendment of certain equity based compensation plans, an issuance that will result in a change of control of our company, certain transactions other than a public offering involving issuances of a 20% or greater interest in the company, and certain acquisitions of the stock or assets of another company. We may in the future elect to follow home country corporate governance practices in Israel with regard to other matters. Following our home country corporate governance practices as opposed to the requirements that would otherwise apply to a U.S. company listed on the Nasdaq may provide less protection to investors than what would otherwise be accorded to investors under the listing rules of the Nasdaq applicable to domestic U.S.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Israeli Law and Our Incorporation, Location and Operations in Israel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headquarters, research and development and other significant operations are located in Israel, and, therefore, our results may be adversely affected by political, economic and military instability in Israel.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 is located in Ra’anana, Israel. In addition, certain of our key employees, officers and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and terrorist organizations active in the region, including Hamas (an Islamist militia and political group in the Gaza Strip) and Hezbollah (an Islamist militia and political group in Lebanon).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in October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These attacks resulted in thousands of deaths and injuries, and Hamas additionally kidnapped many Israeli civilians and soldiers. Following the attack, Israel’s security cabinet declared war against Hamas and commenced a military campaign against Hamas and these terrorist organizations in parallel continued rocket and terror attacks. As a result of the events of October 7, 2023, the Israeli government declared that the country was at war and the Israeli military began to call-up reservists for active duty and seven (7) of our full-time and part-time employees were called up for reserve service, none of whom perform critical functions for us. As of the date of this annual report, six (6) of our employees who were initially called up for reserve service have since been released from such service. Military service call ups that result in absences of personnel from us for an extended period of time may materially and adversely affect our business, prospects, financial condition and results of operations.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the commencement of these events, there have been continued hostilities along Israel’s northern border with Lebanon (with the Hezbollah terror organization) and southern border (with the Houthi movement in Yemen). It is possible that hostilities with Hezbollah in Lebanon will escalate, and that other terrorist organizations, including Palestinian military organizations in the West Bank as well as other hostile countries, such as Iran, will join the hostilities. Such clashes may escalate in the future into a greater regional conflict. In addition, Iran has threatened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These situations may potentially escalate in the future to more violent events which may affect Israel and us. Any hostilities, armed conflicts, terrorist activities involving Israel or the interruption or curtailment of trade between Israel and its trading partners, or any political instability in the region could adversely affect business conditions and our results of operations and could make it more difficult for us to raise capital and could adversely affect the market price of our ordinary shares. An escalation of tensions or violence might result in a significant downturn in the economic or financial condition of Israel, which could have a material adverse effect on our operations in Israel and our business.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war broke out on October 7, 2023, our operations have not been adversely affected by this situation, and we have not experienced disruptions to our business operations. As such, our product and business development activities remain on track. However, the intensity and duration of Israel’s current war against Hamas is difficult to predict at this stage, as are such war’s economic implications on our business and operations and on Israel’s economy in general, and we continue to monitor the situation closely and examine the potential disruptions that could adversely affect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does not cover losses that may occur as a result of an event associated with the security situation in the Middle East or for any resulting disruption in our operations. Although the Israeli government has in the past covered the reinstatement value of direct damages that were caused by terrorist attacks or acts of war, we cannot assure you that this government coverage will be maintained or, if maintained, will be sufficient to compensate us fully for damages incurred, and the government may cease providing such coverage or the coverage might not suffice to cover potential damages. Any losses or damages incurred by us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To date, these initiatives have been substantially put on hold.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fluctuations in currency exchange rates, which could negatively affect our financial condition and results of operations.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and reporting currency is the U.S. dollar. A material portion of our operating expenses is incurred outside the United States, mainly in NIS, and is subject to fluctuations due to changes in foreign currency exchange rates, particularly changes in NIS. Our foreign currency-denominated expenses consist primarily of personnel, rent and other overhead costs. Since a significant portion of our expenses is incurred in NIS, any appreciation of the NIS relative to the U.S. dollar would adversely impact our net loss or net income, as relevant. We are therefore exposed to foreign currency risk due to fluctuations in exchange rates. This may result in gains or losses with respect to movements in exchange rates which may be material and may also cause fluctuations in reported financial information that are not necessarily related to its operating results. In relation to the effect of inflation, results for tax purposes are measured in terms of earnings in NIS after certain adjustments for increases in the Israeli Consumer Price Index, or CPI. As the results in our financial statements are measured in U.S. dollars, the difference between the annual change in the Israeli CPI and in the NIS/U.S. dollar exchange rate can cause a difference between taxable income and the net loss shown in the financial statements. We expect that the majority of our revenues will be generated in U.S. dollars with the balance in EURO for the foreseeable future, and that a significant portion of our expenses will continue to be denominated in NIS and partially in U.S. dollars and EURO. To date, foreign currency transaction gains and losses and exchange rate fluctuations have not been material to our financial statements, and we have not engaged in any foreign currency hedging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of Israeli law and our articles of association may delay, prevent or otherwise impede a merger with, or an acquisition of, our company, even when the terms of such a transaction are favorable to us and our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incorporated under the law of the State of Israel, we are subject to Israeli law. 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and a majority of the offerees that do not have a personal interest in the tender offer approves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claim that the consideration for the acquisition of the shares does not reflect their fair market value, and petition an Israeli court to alter the consideration for the acquisition accordingly, unless the acquirer stipulated in its tender offer that a shareholder that accepts the offer may not seek such appraisal rights, and the acquirer or the company published all required information with respect to the tender offer prior to the tender offer’s response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tax considerations also may make potential transactions unappealing to us or to our shareholders whose country of residence does not have a tax treaty with Israel exempting such shareholders from Israeli tax.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may be subject to certain restrictions and additional terms. Moreover, with respect to certain share swap transactions, the tax deferral is limited in time, and when such time expires, the tax becomes payable even if no disposition of the shares has occurred. See “Taxation—Israeli Tax Considerations and Government Programs”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rights and responsibilities as a holder of our securities are governed by Israeli law, which differs in some material respects from the rights and responsibilities of shareholders of U.S. companies.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Israeli law. The rights and responsibilities of the holders of our ordinary shares are governed by our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company’s articles of association, an increase of the company’s authorized share capital, a merger of the company, and approval of related party transactions that require shareholder approval. In addition, a controlling shareholder or a shareholder who knows that it possesses the power to determine the outcome of a shareholder vote or to appoint or prevent the appointment of an officer of the company has a duty to act in fairness towards the company with regard to such vote or appointment. However, Israeli law does not define the substance of this duty of fairness. There is limited case law available to assist us in understanding the nature of this duty or the implications of these provisions. These provisions may be interpreted to impose additional obligations on holders of our ordinary shares that are not typically imposed on shareholders of U.S. corporations. See “Item 6.C.—Directors, Senior Management and Employees—Board Practices—Duties of Shareholders”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a judgment of a U.S. court against us and our officers and directors and the Israeli experts named in this Annual Report in Israel or the United States, to assert U.S. securities laws claims in Israel or to serve process on our officers and directors and these experts.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Israel and our corporate headquarters are located in Israel. All of our executive officers and directors and the Israeli experts named in this Annual Report are located outside of the U.S. All of our assets and most of the assets of these persons are located in Israel.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little binding case law in Israel that addresses the matters described above. As a result of the difficulty associated with enforcing a judgment against us in Israel, you may not be able to collect any damages awarded by either a U.S. or foreign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Our operations may be disrupted as a result of the obligation of management or key personnel to perform military service</w:t>
      </w:r>
      <w:r>
        <w:rPr>
          <w:rFonts w:ascii="Times New Roman;Times;Serif" w:hAnsi="Times New Roman;Times;Serif"/>
          <w:b/>
          <w:i w:val="false"/>
          <w:caps w:val="false"/>
          <w:smallCaps w:val="false"/>
          <w:sz w:val="20"/>
        </w:rPr>
        <w:t>.</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and consultants in Israel, including members of our senior management, may be obligated to perform one month, and in some cases longer periods, of military reserve duty until they reach the age of 45 (or older, for citizens who hold certain positions in the Israeli armed forces reserves) and, in the event of a military conflict or emergency circumstances, may be called to immediate and unlimited active duty. In the event of severe unrest or other conflict, individuals could be required to serve in the military for extended periods of time.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related to military service. Such disruption could materially adversely affect our business and operations. Additionally, the absence of a significant number of the employees of our Israeli suppliers and contractors related to military service or the absence for extended periods of one or more of their key employees for military service may disrupt their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significant additional costs as a result of being a public company subject to SEC reporting requirements in the United States, and our management is required to devote substantial additional time to new compliance initiatives as well as to compliance with ongoing United States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U.S. public reporting company, we are incurring significant additional accounting, legal, and other expenses in the future. Our management and other personnel need to devote substantial time to the compliance requirements of being a U.S. public company; in addition, the implementation of such compliance processes and systems may require us to hire outside consultants and incur other significant costs. Any future changes in the laws and regulations affecting public companies in the United States and the rules and regulations adopted by the SEC and the Nasdaq Market, for so long as they apply to us, will result in increased costs to us as we respond to such changes. These laws,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on our board committees, if any, or as senior management.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engage in future acquisitions or strategic partnerships, this may increase our capital requirements, dilute our shareholders, cause us to incur debt or assume contingent liabilities, and subject us to other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0" w:after="0"/>
        <w:ind w:left="0" w:right="0" w:firstLine="72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operating expenses and cash requirements;</w:t>
            </w:r>
          </w:p>
        </w:tc>
      </w:tr>
    </w:tbl>
    <w:p>
      <w:pPr>
        <w:pStyle w:val="TextBody"/>
        <w:bidi w:val="0"/>
        <w:spacing w:before="0" w:after="0"/>
        <w:ind w:left="144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 of additional indebtedness or contingent liabilities;</w:t>
            </w:r>
          </w:p>
        </w:tc>
      </w:tr>
    </w:tbl>
    <w:p>
      <w:pPr>
        <w:pStyle w:val="TextBody"/>
        <w:bidi w:val="0"/>
        <w:spacing w:before="0" w:after="0"/>
        <w:ind w:left="144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170"/>
        <w:gridCol w:w="2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our equity securities;</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assimilation of operations, intellectual property and products of an acquired company, including difficulties associated with integrating new personnel;</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our management’s attention from our existing product programs and initiatives in pursuing such a strategic merger or acquisition;</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the loss of key personnel and uncertainties in our ability to maintain key business relationships;</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associated with the other party to such a transaction, including the prospects of that party and their existing products or product candidates and marketing approvals; and</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generate revenue from acquired technology and/or products sufficient to meet our objectives in undertaking the acquisition or even to offset the associated acquisition and maintenance costs.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 stage technology company that is seeking to revolutionize railway safety and the data-related market. We believe we have developed cutting edge, AI based, industry-leading detection technology specifically designed for railways, with investments from Knorr-Bremse, a world-class rail system manufacturer. We have developed our railway detection and systems to save lives, increase efficiency, and dramatically reduce expenses for the railway operator.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Israel in April 2016. Our principal executive offices are located at 15 Hatidhar St. Ra’anana, 4366517 Israel. Our telephone number in Israel is +972-9-957-7706. Our website address is http://www.railvision.io/. Information contained on or accessible through our website is not a part of this Annual Report on Form 20-F, and the inclusion of our website address herein is an inactive textual reference only. Puglisi &amp; Associates, or Puglisi, serves as our authorized representative in the United States for certain limited matters. Puglisi’s address is 850 Library Avenue, Newark, Delaware 19711.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site that contains reports, proxy and information statements and other information regarding issuers that file electronically with the SEC at http://sec.gov. We use our website (http://www.railvision.io), LinkedIn (https://www.linkedin.com/company/rail-vision), and Facebook (https://www.facebook.com/railvision.io) as channels of distribution of Company information. The information we post through this channel may be deemed material. Accordingly, investors should monitor our website, in addition to following our press releases, SEC filings and public conference calls and webcasts. The contents of our website are not, however, a part of this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implemented under the JOBS Act. As such, we are eligible to, and intend to, take advantage of certain exemptions from reporting requirements that generally apply to public companies, including the auditor attestation requirements with respect to internal control over financial reporting under Section 404 of the Sarbanes-Oxley Act, compliance with new standards adopted by the Public Company Accounting Oversight Board which may require mandatory audit firm rotation or auditor discussion and analysis, exemption from say on pay, say on frequency, and say on golden parachute voting requirements, and reduced disclosure obligations regarding executive compensation in our periodic reports and proxy statements. We will be an emerging growth company until the earliest of: (i) the last day of the fiscal year during which we had total annual gross revenues of $1.07 billion or more, (ii) the last day of the fiscal year following the fifth anniversary of the date of the first sale of the ordinary shares pursuant to an effective registration statement (i.e., December 31, 2027), (iii) the date on which we have, during the previous three-year period, issued more than $1 billion in non-convertible debt, or (iv) the date on which we are deemed a “large accelerated filer” as defined in Regulation S-K under the Securities Act, which means the market value of our ordinary shares that is held by non-affiliates exceeds $700 million as of the prior June 30th.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certain rules and regulations under the Exchange Act that are applicable to other public companies that are not foreign private issuers. For example, although we intend to report our financial results on a quarterly basis, we will not be required to issue quarterly reports, proxy statements that comply with the requirements applicable to U.S. domestic reporting companies, or individual executive compensation information that is as detailed as that required of U.S. domestic reporting companies. We will also have four months after the end of each fiscal year to file our annual report with the SEC and will not be required to file current reports as frequently or promptly as U.S. domestic reporting companies. Our senior management, directors, and principal shareholders will be exempt from the requirements to report transactions in our equity securities and from the short-swing profit liability provisions contained in Section 16 of the Exchange Act. As a foreign private issuer, we will also not be subject to the requirements of Regulation FD (Fair Disclosure)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B. 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 stage technology company that is seeking to revolutionize railway safety and the data-related market. We believe we have developed cutting edge, AI based, industry-leading detection technology specifically designed for railways, with investments from Knorr-Bremse, a world-class rail system manufacturer. We have developed our railway detection and systems to save lives, increase efficiency, and dramatically reduce expenses for the railway operator.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long-term pilot with Israel Railways that was concluded in August 2022, in January 2023, we signed an agreement with Israel Railways for the purchase of 10 Rail Vision Main Line Systems, which installation started in February 2024. In addition, after a successful six-month long-term pilot with a US-based rail and leasing services company, in January 2024, we signed a supply contract with this customer valued at up to $5,000,000 (USD) for the purchase our AI-based Switch Yard Systems. The first phase of the contract is valued at $1,000,000 (USD). Follow-on orders for additional Switch Yard Systems, valued at up to $4,000,000, are subject to customer approval. Also, in October 2023, we received a $500,000 purchase order for a single Main Line System and related services from a leading Latin American mining company, which was delivered to the customer in December 2023. The customer is expected to start a long-term pilot soon after completing the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railway detection system is currently in a pilot phase with several industry leading railway operators as we seek to move to the next stage of receiving commercial orders. We believe that our technology will significantly increase railway safety around the world, while creating significant benefits and adding value to everyone who relies on the train ecosystem: from passengers using trains for transportation to companies that use railways to deliver goods and services. In addition, we believe that our technology has the potential to advance the revolutionary concept of autonomous trains into a practical reality.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electrification and automation of railways and trains are two key factors that are driving growth in the transportation market. Autonomous trains are integrated with advanced systems to provide improved control over the train for stopping, departing and movement between train stations – for example the operators are aiming to increase the density on a given track that’s to say more trains per kilometer. From everyday passengers to train operators, there is a rising demand for safe, secure, and efficient transport systems. Additionally, various technological advancements, such as the integration of the Internet of Things, or IoT, and artificial intelligence, or AI, solutions into railway detection systems, are market categories expected to grow in the coming years. These technologies aid in improving the overall operational efficiency and maintaining freight operations and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Autonomous trains, also known as driverless trains, are operated automatically without any human intervention, and are monitored from the control station when communication is available. In case of any obstacle incurred in the route, the obstacle detection system commands the train to stop and in parallel a message is sent to operational control center and to the attendant on the train if any, to further command the train. Owing to increase in traffic congestion on road network, the need for smart and frequent trains has boosted the growth of the global market. According to Allied Market Research, the autonomous train technology market was valued at $5.88 billion in 2018, and is projected to reach $15.57 billion by 2026, growing at a CAGR of 12.9% from 2019 to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founding in April 2016, we have developed unique railway detection systems for railway safety, based on image processing and deep leaning technologies that provide early warnings to train driver of hazards on and around the railway track, including during severe weather and in all lighting conditions. Our unique system uses special high resolution cameras to identify objects up to 2,000 meters away, along with a computer unit that uses AI machine learning algorithms to analyze the images, identify objects on or near the tracks, and warn the train driver of the obstacle and potential danger. In 2017, we were recognized as the winner of Deutche Banh’s MINDBOX competition for our automated early warning systems to prevent railway accidents.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railway detection system includes different types of cameras, including optics, visible light spectrum cameras (video) and thermal cameras that transmit data to a ruggedized on-board computer which is designed to be suitable for the rough environment of a train’s locomotive. Our railway detection and classification system includes an image-processing and machine-learning algorithm that processes the data for identifying potential hazards on and around the track. These algorithms are designed to identify and classify objects such as people, animals, vehicles, signs, signals along the track, and anomalies. Our railway detection system actively classifies objects by severity to determine if an alarm should be signaled to the train driver. These data collection and classification capabilities can be extended to further use-cases such as predictive maintenance and big-data analyses.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technology demonstrates capabilities and results that are better than existing solutions. Most of the currently available safety solutions for the railway industry focus on stationary systems in dedicated hazardous locations, such as at level track crossings and passenger train stations, among others. At these dedicated locations, different technologies are used for detecting obstacles that are on the vicinity of level crossing tracks, and usually include different cameras and radars. The problem with this type of solution is that the train is only monitored at specific points in the railroad junction, leaving the vast majority of the railway unprotected. In addition, even when detected something on the level crossing tracks, the message has to be transmitted in a way that the driver would be able to react on time. In recognition of the limitations of existing solutions, we integrate a collision avoidance system using long-range real-time AI and electro-optics technologies on trains that is designed to address this unmet need. as well as providing solutions to most of the challenges train operators face during transit such as collisions, derailments and other accidents caused by obstacles on tracks, or poor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 and Market Opportunity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railway is an essential form of transportation. Efficient and safe railway infrastructure plays a central role in the global economy. The process of expanding and upgrading railways is taking place worldwide, driving the importance to produce safe and reliable railway infrastructure. A lack of safety and inefficiency may reduce the reliability of train travel, decrease public usage and cause economic damage, including heavier road traffic, more air pollution, and diminish to the quality of life in general.</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Railway accidents are generally attributed to several factors, such as the human factor, which include the driver’s failure to notice and respond to obstacles on the track, the driver’s ability to react to potential dangers, and the driver’s field of view, which is made worse in poor lighting or severe weather conditions. Other factors that cause railway accidents include faults in the railway track signaling system, damaged infrastructure, and weather conditions such as rain, fog and snow.</w:t>
      </w:r>
    </w:p>
    <w:p>
      <w:pPr>
        <w:pStyle w:val="TextBody"/>
        <w:bidi w:val="0"/>
        <w:spacing w:before="0" w:after="0"/>
        <w:ind w:left="864"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“Report on railway safety and interoperability in the EU, 2022”, the economic cost of significant accidents alone was estimated at about EUR 3.2 billion in 2020. Progress has also been very uneven across the EU Member states, with variation in safety levels remaining high. According to the U.S. Department of Transportation, in 2021, in the U.S. there were 8,094 train accidents and incidents, 754 fatalities and 4,628 injuries.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braking distance required for a train to stop, train operators require advanced notice to stop a train in time and avoid an obstacle on the track. The braking distance of a passenger train traveling at a moderate speed (i.e., 87 mi/h) is between 600 and 800 meters; freight trains typically require a similar distance to safely brake – depending on the load size and speed of the train. Human operators, however, do not have the capacity to detect obstructions on the railway track, and halt a train within these braking distances. Our advanced technology is designed to address this human deficiency.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railway detection system monitors the short and long-distance region of interest in front of the train, at an operational range of up to 2,000 meters (1.2 miles), which is longer than the braking distance of most trains. Our system is designed to detect, classify and alert train operators on real-time railway track obstacles, which allows the train operator to make educated decisions in how to best operate the train, and to decide whether it is necessary to stop to avoid a collision. Additionally, after being integrated into the train’s computer, our railway detection system’s artificial intelligence capabilities will facilitate by taking emergency autonomous actions, such as halting the train, braking once an obstacle is classified, sounding a horn and flashing lights to alert others.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several years, there has been an increased demand for automated solutions in railway detection systems to make train travel safer and more efficient. There are several technological systems available in the market today that have been designed to reduce the risk of railway accidents, to avoid injuries and damage to property, to limit unplanned closures of railway tracks, to make railway transport more efficient, and to increase the usage of existing railway infrastructure. Generally, such railway detection systems fall into two main categories – those which are installed on the train (such as our railway detection system), and those that are fixed signaling systems installed as part of the stationary infrastructure.</w:t>
      </w:r>
    </w:p>
    <w:p>
      <w:pPr>
        <w:pStyle w:val="TextBody"/>
        <w:bidi w:val="0"/>
        <w:spacing w:before="0" w:after="0"/>
        <w:ind w:left="1728" w:right="0" w:firstLine="720"/>
        <w:jc w:val="both"/>
        <w:rPr>
          <w:caps w:val="false"/>
          <w:smallCaps w:val="false"/>
        </w:rPr>
      </w:pPr>
      <w:r>
        <w:rPr>
          <w:caps w:val="false"/>
          <w:smallCaps w:val="false"/>
        </w:rPr>
        <w:t> </w:t>
      </w:r>
    </w:p>
    <w:p>
      <w:pPr>
        <w:pStyle w:val="TextBody"/>
        <w:bidi w:val="0"/>
        <w:spacing w:before="0" w:after="0"/>
        <w:ind w:left="1728"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1728"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market potential for our railway detection systems that are installed on the train is large and ever growing, as every single railway train or drivers’ cabin worldwide is a potential customer. Based on our own internal research, we estimate there are approximately 300,000 potential customers, and if considering two (2) systems per loco for each direction the potential can go significantly higher.</w:t>
      </w:r>
    </w:p>
    <w:p>
      <w:pPr>
        <w:pStyle w:val="TextBody"/>
        <w:bidi w:val="0"/>
        <w:spacing w:before="0" w:after="0"/>
        <w:ind w:left="432" w:right="0" w:hanging="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2018 estimates of SCI, the global market for railway technology is estimated at approximately $200 billion with a steady growth curve of 2.8% per year. According to currently displayed statistics on the U.S. Department of Transportation’s website, the freight train industry in the United States is estimated at approximately $80 billion, as determined by the by the seven Class 1 railroads operating in the United States. Additionally, according to the U.S. Department of Transportation it is estimated that $25 billion is spent annually on maintaining and adding capacity to freight railroads. Also, according to McKinsey &amp; Company, in 2016, the cost of infrastructure maintenance and renewal exceeds €25 billion per year across Europe and is rising.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railway aftermarket revenue is anticipated to record a valuation of USD 120 billion by 2027, according to the most recent study by Global Market Insights Inc. which anticipates that rising investments in rail and infrastructure maintenance combined with the penetration of high-speed trains is expected to bolster the industry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Railway tracks are a controlled environment, usually owned by one entity in the country where they are located. An obstacle that causes an accident on a train carrying hundreds of passengers or hauling thousands of tons of cargo might be a significant cost in the event of an accident due to injuries and damaged property. In addition, the section of track that is damaged or occupied with the stuck train, which is in any event restricted infrastructure, has to be closed until the investigation is completed, debris is collected and the infrastructure is checked for safety before train travel on the railway tracks can continue. This affects the timetable of many other trains, which causes an increase in downtime and the associated financial loss of such downtime. In addition, the reputation of the train operator is damaged, and as a consequence, the train operator may experience a decrease in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Current Train Vision Market Status and the Transition to Autonomous Train 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trains are equipped with certain advanced automated technologies to assist railway operators such as Automatic Train Control, or ATC, and Automatic Train Protection, or ATP. ATC is a general group of systems that include mechanisms for controlling a train’s speed in response to receiving external data. ATP is a system that, among other things, continuously verifies that the train’s speed complies with the permitted speed.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ATC and ATP systems, there are currently other available technologies for Automatic Train Operation, or ATO, which include components to promote safety and control all stages of operating the train, from acceleration to precision stopping. While there are various levels of implementation of ATO, the most common use of ATO is on underground railways. For example, the London Underground uses semi-automatic train operation on certain lines. The Light Railway in eastern London is even more advanced, and the driver’s cabin has been replaced by a controller.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 covers five Grades of Automation (GoA):</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GoA 0 refers to a train with a human driver who exercises full control of the train – starting, stopping, opening and closing doors, and operation in emergencies.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GoA 1 refers to operation where the driver controls starting and stopping the train, operation of doors, emergencies and sudden deviations, with the assistance of ATP systems.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GoA 2 refers to semi-automatic operation, where stopping is automatic, but the driver starts the train, operates the doors, and drives the train in emergencies.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GoA 3 refers to operation without a driver, where starting and stopping is automatic, but the controller operates the doors and drives the train in emergencies.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GoA 4 refers to train operation without supervision; starting, stopping, door operation and operation in emergencies is all automatic with no staff on the train.</w:t>
            </w:r>
          </w:p>
        </w:tc>
      </w:tr>
    </w:tbl>
    <w:p>
      <w:pPr>
        <w:pStyle w:val="TextBody"/>
        <w:bidi w:val="0"/>
        <w:spacing w:before="0" w:after="0"/>
        <w:ind w:left="1224" w:right="0" w:hanging="0"/>
        <w:jc w:val="both"/>
        <w:rPr>
          <w:caps w:val="false"/>
          <w:smallCaps w:val="false"/>
        </w:rPr>
      </w:pPr>
      <w:r>
        <w:rPr>
          <w:caps w:val="false"/>
          <w:smallCaps w:val="false"/>
        </w:rPr>
        <w:t> </w:t>
      </w:r>
    </w:p>
    <w:p>
      <w:pPr>
        <w:pStyle w:val="TextBody"/>
        <w:bidi w:val="0"/>
        <w:spacing w:before="0" w:after="0"/>
        <w:ind w:left="122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1224"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railway companies will gradually implement autonomous trains. While a full transition to autonomous trains will require the development of additional technologies beyond those currently available, we believe that our obstacle detection technology has the potential to advance GoA 3 and GoA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autonomous train vision being promoted worldwide, an automatic detection system will be required to enable train operators to detect obstacles in the train’s travel route beyond the braking distance of a train. An automatic detection system has about twice the human detection capabilities during the day, and much more at night. As part of our efforts to advance operating levels of GoA 3 and GoA 4, we are investing efforts in collaborations with train operators and train manufacturers to examine the integration of our railway detection systems within various trains. We focus on detection systems, whereby the additional auxiliary systems required for an autonomous train (ATC and ATP systems) will be provided by other manufacturers. Our railway detection system is a standalone product that does not require any supportive additional equipment. The interface with an ATO concept of operation can be done at a later time, since our railway detection system, once engaged, can be used regardless of the integration with other autonomous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GoA 4 freight trains already operate in certain parts of the world (such as Rio Tinto Australia, and Iron Ore Canada). We believe that our railway detection systems are ideal for these trains, and part of our strategy is to engage and collaborate with the operators of these trains. To that end, we have signed a contract to supply demonstrations over several months of testing with the Autonomous GoA4 rail operator Rio Tinto Iron Ore,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GoA 4 freight trains, there are some very specific environments where trains are operated without drivers and rely on signaling systems and a sterile testing environment, such as train lines in airports or underground train lines. Such autonomous lines are rare and can only be implemented if the conditions are precise. These types of trains require a safety infrastructure that is separate from the railway track in the external environment. This infrastructure is expensive to build and maintain, and therefore is not a viable option for most operators. While these types of trains are rare and not our main strategic focus, we do believe that our system will be ideal for these trains as well, as they require a solution that is installed on the train and capable of timely identifying potential hazards on and around the track.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solutions for a number of verticals in the railway market:</w:t>
      </w:r>
    </w:p>
    <w:p>
      <w:pPr>
        <w:pStyle w:val="TextBody"/>
        <w:bidi w:val="0"/>
        <w:spacing w:before="0" w:after="0"/>
        <w:ind w:left="0" w:right="0" w:firstLine="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170"/>
        <w:gridCol w:w="1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The Main Line System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Line System is an application of our railway detection system for passengers and freight trains that travels in main line. The system includes an external sensor unit installed on the train along with an on-board computer system (see below). The on-board computer system receives data from the external sensor unit and uses artificial intelligence to perform algorithmic calculations in real time to identify potential hazards for the train operator.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600575" cy="3086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00575" cy="308610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railway detection system is designed to discover and warn the train operator about hazards of up to 2,000 meters (1.2 miles) ahead of the train. To detect hazards up to this distance, our railway detection system is dependent on a continuous line of sight that is not obscured by buildings, curves in the track, or dense fog which can limit the detection range.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braking distance of a train traveling at high speeds of about 160 KPH / 100 MPH is approximately 800 meters (0.5 miles). The </w:t>
      </w:r>
      <w:r>
        <w:rPr>
          <w:rFonts w:ascii="Times New Roman;Times;Serif" w:hAnsi="Times New Roman;Times;Serif"/>
          <w:b w:val="false"/>
          <w:i w:val="false"/>
          <w:caps w:val="false"/>
          <w:smallCaps w:val="false"/>
          <w:sz w:val="20"/>
          <w:u w:val="single"/>
        </w:rPr>
        <w:t>Main Line System</w:t>
      </w:r>
      <w:r>
        <w:rPr>
          <w:rFonts w:ascii="Times New Roman;Times;Serif" w:hAnsi="Times New Roman;Times;Serif"/>
          <w:b w:val="false"/>
          <w:i w:val="false"/>
          <w:caps w:val="false"/>
          <w:smallCaps w:val="false"/>
          <w:sz w:val="20"/>
        </w:rPr>
        <w:t xml:space="preserve"> has been optimized to identify hazards at a distance more than 800 meters (0.5 miles) to provide the train operator with enough time to react to the hazard, and stop the train if necessary. The braking distance of the train may differ as a result of various factors, including weather conditions and the total weight of the train.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railway detection system can technically interface with the train’s control and monitoring systems, such as the brake system. This interface is achieved by setting up a communication interface between our railway detection system and the train’s existing operating system. However, interfacing with the brake system or other systems of a train will require compliance with a more stringent level of train safety (SIL) than the current safety levels we are certified for, as of the date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railway detection system is designed to detect and classify objects, indict their location on the track and the distance from the locomotive, and detect the position of the switch. The switch is a device that is part of the railway track and is used to switch between two adjacent tracks or merge two tracks into one track. It is important to detect the position of the switch because the switch selects the train’s continued direction from the main track line on which the train is currently riding to another rail.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40849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408495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completed a homologation process of a driver assistance system on trains in a use-case of Main line (SIL-0 according to EN50126).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advanced prototype of the Main Line System was completed and finalized its first field test phase with Israel Railways in March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long-term pilot with Israel Railways that was concluded in August 2022, in January 2023, we signed an agreement with Israel Railways for the purchase of 10 Rail Vision Main Line Systems. The first deliveries of the systems was completed in the first quarter of 2024. The potential sales opportunity with Israel Railways for our Main Line System is for installations on up to 200 trains, and assuming we can negotiate bidirectional installation, the potential sale opportunity could be doubled to install up to 400 RV2000 systems on up to 200 trains.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Rio Tinto Iron Ore, or RTIO, the world’s second-largest metals and mining corporation has engaged us to work on part of its AutoHaul autonomous train to improve train safety. RTIO has 60 operations in 35 countries, has 47,500 employees and 2,000 customers. The RTIO fleet is autonomous and does not have the technical capability to foresee any obstacles or anomalies in front of the moving train. As such, RTIO is exploring solutions that can detect, alert and respond to an obstacle on the tracks. In April 2021, we entered into an equipment, personnel and services supply agreement with Hitachi Rail STS Australia Pty Ltd., or STS, which enables STS, as the principal supplier, to supply Rio Tinto Railway Network with our RV2000 system for demonstrations and to examine the RV2000’s operational performance. The long-term pilot was concluded in August 2022. Following the completion of the long-term pilot, the company submitted a summary report of the pilot. As of today, we have not received any formal response from Rio Tinto relating to the next phase.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2023, we received a $500,000 purchase order for a single Main Line System and related services from a leading Latin American mining company, which was delivered to the customer during December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The Shunting Yard System</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z w:val="20"/>
          <w:u w:val="single"/>
        </w:rPr>
        <w:t>Shunting Yard System</w:t>
      </w:r>
      <w:r>
        <w:rPr>
          <w:rFonts w:ascii="Times New Roman;Times;Serif" w:hAnsi="Times New Roman;Times;Serif"/>
          <w:b w:val="false"/>
          <w:i w:val="false"/>
          <w:caps w:val="false"/>
          <w:smallCaps w:val="false"/>
          <w:sz w:val="20"/>
        </w:rPr>
        <w:t xml:space="preserve"> used at the shunting yard is meant to streamline work in the operational areas of railways (shunting yards) which are used for the assembly, loading and unloading of freight trains.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shunting yard application of the railway detection system consists of two external sensor units installed on either side of the locomotive that are linked to the central processing unit inside the train, and uses algorithms, artificial intelligence/deep learning neural nets, to classify these obstacles in real time, at a range of up to 200 meters on and beside the track, under severe weather and poor visibility conditions. These warnings are shown to the driver with some recommendations to stop or slow down. The system also has the technical ability to interface with the locomotive’s control systems, such as the train’s brakes. This is done by setting up a communication interface with existing systems in the train and doing so in accordance with the customer’s requirements. However, interfacing with the brakes or other systems in the locomotive requires compliance with a stricter Safety Integrity Level (SIL) than the levels for which we have currently have obtained certification (SIL 0). Rail Vision has completed a homologation process of a drive assist system on trains in a use-case of Switch Yard (SIL-0 according to EN50126).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3928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9280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2020, we supplied a prototype of the </w:t>
      </w:r>
      <w:r>
        <w:rPr>
          <w:rFonts w:ascii="Times New Roman;Times;Serif" w:hAnsi="Times New Roman;Times;Serif"/>
          <w:b w:val="false"/>
          <w:i w:val="false"/>
          <w:caps w:val="false"/>
          <w:smallCaps w:val="false"/>
          <w:sz w:val="20"/>
          <w:u w:val="single"/>
        </w:rPr>
        <w:t>Shunting Yard System</w:t>
      </w:r>
      <w:r>
        <w:rPr>
          <w:rFonts w:ascii="Times New Roman;Times;Serif" w:hAnsi="Times New Roman;Times;Serif"/>
          <w:b w:val="false"/>
          <w:i w:val="false"/>
          <w:caps w:val="false"/>
          <w:smallCaps w:val="false"/>
          <w:sz w:val="20"/>
        </w:rPr>
        <w:t xml:space="preserve"> to Schweizerische Bundes Bahnen Cargo, or SBBC, for functional testing, which began in April 2021. As of the date of this Annual Report on Form 20-F, SBB (the mother company of SBB cargo) has cancelled the procurement process for the evaluation of the shunting yards system due to lack of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a leading US-based rail and leasing services company purchased a Switch Yard System and evaluated its performance during a six-month trial that was completed in September 2023, for a total amount of $140,000 including technical support services, during the six-month trial. In January 2024, we signed a supply contract with this customer valued at up to $5,000,000 (USD) for the purchase our AI-based Switch Yard Systems. The first phase of the contract is valued at $1,000,000 (USD). Follow-on orders for additional Switch Yard Systems, valued at up to $4,000,000, are subject to customer approval. The contract also includes specific purchase quotas that, if met, provide the customer with exclusivity in the North American industrial railyards switching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we received an order for our Switch Yard System from a Class 1 freight rail company in the United States. The freight rail company, which is one of the largest in North America, will install and use the system on its locomotive for evaluation and testing different scenarios related to safety.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408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4086225"/>
                    </a:xfrm>
                    <a:prstGeom prst="rect">
                      <a:avLst/>
                    </a:prstGeom>
                  </pic:spPr>
                </pic:pic>
              </a:graphicData>
            </a:graphic>
          </wp:inline>
        </w:drawing>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and Marketing Strategy</w:t>
      </w:r>
    </w:p>
    <w:p>
      <w:pPr>
        <w:pStyle w:val="TextBody"/>
        <w:bidi w:val="0"/>
        <w:spacing w:before="0" w:after="0"/>
        <w:ind w:left="864"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become a global leading developer and supplier of innovative railway detection technologies to the railway industry. We believe that our advanced technologies will enable safer train driving, reduce train accidents, increase the flow of traffic, and save money for our customers. We also believe that the transition to autonomous train driving will not occur without an advanced detection system such as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on the following three main segments of the market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Locomotives for shunting yards</w:t>
      </w:r>
      <w:r>
        <w:rPr>
          <w:rFonts w:ascii="Times New Roman;Times;Serif" w:hAnsi="Times New Roman;Times;Serif"/>
          <w:b w:val="false"/>
          <w:i w:val="false"/>
          <w:caps w:val="false"/>
          <w:smallCaps w:val="false"/>
          <w:sz w:val="20"/>
        </w:rPr>
        <w:t xml:space="preserve"> – We have focused on selling the RV200 system to shunting yard operators. Our railway detection system for this market segment is at a relatively advanced stage, as we have a prototype of the RV200 system that is being tested by SBBC, a freight train company in Switzerland. As of the date of this Annual Report on Form 20-F, SBB (the mother company of SBB cargo) is planning to issue a tender for purchasing 9 systems for evaluation. Upon successful trial, the company estimation that the total potential is above 100 systems. We believe that SBBC’s reputation will assist us in the promotion and sales of our railway detection systems to other customers in this segment. If the transaction with SBBC evolves into an order, we expect SBBC to order several dozen of our railway detection systems. In addition to the transaction with SBBC, the Company has demonstrated the system to a Class I freight operator in the US. The demonstration was successful, and we were asked to give an additional demonstration for the customer’s executives.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Locomotives for passenger and freight trains</w:t>
      </w:r>
      <w:r>
        <w:rPr>
          <w:rFonts w:ascii="Times New Roman;Times;Serif" w:hAnsi="Times New Roman;Times;Serif"/>
          <w:b w:val="false"/>
          <w:i w:val="false"/>
          <w:caps w:val="false"/>
          <w:smallCaps w:val="false"/>
          <w:sz w:val="20"/>
        </w:rPr>
        <w:t xml:space="preserve"> – Our strategic focus on this market segment derives from the fact that it includes the largest number of trains, and that the trains operating in this market segment are exposed to serious risks and the realistic probability for potentially fatal accidents. We invest significant efforts in promoting sales to passenger and freight train operators. The sales processes for this market segment includes a demonstration of the system’s capabilities according to specific requirements of each train operator. In addition, we are engaged in the process of licensing systems that are intended for this market segment on the assumption that obtaining a permit in one country may significantly facilitate the licensing process in another country. The Company has signed a contract with Israel Railways to supply 10 systems. The delivery is expected to start during Q4 2023. The company believes that the first order for such system by a commercial operator will have an impact on the market. The Company concluded a long-term pilot with Rio Tinto in August 2022. Following the completion of the long-term pilot, the Company submitted a summary report of the pilot. Following a technical workshop with Rio Tinto that was performed in Nov. 2022, the Company expects to receive from Rio Tinto more detailed requirements for the next phase.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focus is reflected in our marketing strategy:</w:t>
      </w:r>
    </w:p>
    <w:p>
      <w:pPr>
        <w:pStyle w:val="TextBody"/>
        <w:bidi w:val="0"/>
        <w:spacing w:before="0" w:after="0"/>
        <w:ind w:left="86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increase our marketing and sales efforts to reach more potential customers. Increasing our  sales and marketing efforts will enable us to initiate and create additional opportunities while the sales and marketing personnel focus on and specialize in the territories that our strategy defines as most relevant.</w:t>
            </w:r>
          </w:p>
        </w:tc>
      </w:tr>
    </w:tbl>
    <w:p>
      <w:pPr>
        <w:pStyle w:val="TextBody"/>
        <w:bidi w:val="0"/>
        <w:spacing w:before="0" w:after="0"/>
        <w:ind w:left="86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the following markets: North America, Europe and Australia. The reason for the focus on these markets stems from an analysis we conducted to identify the most relevant countries likely to adopt our railway detection systems. We have defined several parameters which may indicate commercial viability of the market relevant to our railway detection systems. The parameters examined by us included, among other things, the total length of the railway tracks in the country examined, the number of passengers per kilometer/ mile of track traveled, the number of tons of goods per kilometer/ mile of track transported, the total number of trains in the country, the level of innovation in the country, and the openness to integrate new technologies.</w:t>
            </w:r>
          </w:p>
        </w:tc>
      </w:tr>
    </w:tbl>
    <w:p>
      <w:pPr>
        <w:pStyle w:val="TextBody"/>
        <w:bidi w:val="0"/>
        <w:spacing w:before="0" w:after="0"/>
        <w:ind w:left="86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investing in efforts to create and develop collaborations with leading train manufacturers. These collaborations are meant to be long-term, with the aim of integrating our railway detection systems into the future production lines of these train manufacturers. We believe that the railway detection systems we develop will be an integral part of future trains, and therefore it is important to invest marketing efforts as early as possible to promote partnerships with train manufacturers and increase market adoption of our railway detection systems.</w:t>
            </w:r>
          </w:p>
        </w:tc>
      </w:tr>
    </w:tbl>
    <w:p>
      <w:pPr>
        <w:pStyle w:val="TextBody"/>
        <w:bidi w:val="0"/>
        <w:spacing w:before="0" w:after="0"/>
        <w:ind w:left="86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and develop our strategic partnership with Knorr-Bremse to serve as a non-exclusive distributor and be a local partner engaged in marketing, sales and the implementation of projects, including integration, installation and services regarding our products in the relevant markets in which Knorr-Bremse operates worldwide. As part of this marketing strategy, we will seek the assistance of Knorr-Bremse’s marketing team. Knorr-Bremse’s marketing staff promotes and sell our products to their existing customers.</w:t>
            </w:r>
          </w:p>
        </w:tc>
      </w:tr>
    </w:tbl>
    <w:p>
      <w:pPr>
        <w:pStyle w:val="TextBody"/>
        <w:bidi w:val="0"/>
        <w:spacing w:before="0" w:after="0"/>
        <w:ind w:left="86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invest in advertising in traditional industry channels, social media networks and digital channels to better advertise and market our railway detection systems to potential customers in the railway industry.</w:t>
            </w:r>
          </w:p>
        </w:tc>
      </w:tr>
    </w:tbl>
    <w:p>
      <w:pPr>
        <w:pStyle w:val="TextBody"/>
        <w:bidi w:val="0"/>
        <w:spacing w:before="0" w:after="0"/>
        <w:ind w:left="86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increase collaborations with other companies operating in the railway industry, such as communications companies that are engaged in constructing communications infrastructure or companies that manufacture complementary products for the railway industry. Collaboration with types of companies may provide added value to our customers, whether it be in the field of data communications where customers seek to transfer data in real time from the trains to the control centers, or through cooperation with companies that manufacture additional auxiliary systems, such as sign manufacturers, and manufacturers of automatic coupling systems (systems that enable automatic coupling between a locomotive and a carriage or between carriages for towing) where our systems will provide a complementary solution.</w:t>
            </w:r>
          </w:p>
        </w:tc>
      </w:tr>
    </w:tbl>
    <w:p>
      <w:pPr>
        <w:pStyle w:val="TextBody"/>
        <w:bidi w:val="0"/>
        <w:spacing w:before="0" w:after="0"/>
        <w:ind w:left="86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Big data – Following the dissemination of our technology and products among many customers, we intend to offer our Main line and Shunting yard systems customers predictive maintenance services and digital mapping services based on the gathering of the visual information stored in its systems. We see big data services as one of its most important growth engines in the next 3-5 years.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Products and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exploring a number of additional railway detection system applications that are in various stages of research and development, as follows:</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Maintenance and predictive maintenance:</w:t>
      </w:r>
      <w:r>
        <w:rPr>
          <w:rFonts w:ascii="Times New Roman;Times;Serif" w:hAnsi="Times New Roman;Times;Serif"/>
          <w:b w:val="false"/>
          <w:i w:val="false"/>
          <w:caps w:val="false"/>
          <w:smallCaps w:val="false"/>
          <w:sz w:val="20"/>
        </w:rPr>
        <w:t xml:space="preserve"> customers who have installed Rail Vision Main line and Shunting yard systems for real time identification of objects, will have the option of receiving predictive track maintenance services, such as identification of vegetation invading the tracks, damage to infrastructures, sunk pylons, etc. This railway detection system application will be able to collect the data from the sensors and check for any changes in and around the track infrastructure in order to indicate possible defects in the infrastructures. Currently, this application is in the initial research and development (R&amp;D) stage.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Mapping and updates – Geographic Information Systems (GIS)</w:t>
      </w:r>
      <w:r>
        <w:rPr>
          <w:rFonts w:ascii="Times New Roman;Times;Serif" w:hAnsi="Times New Roman;Times;Serif"/>
          <w:b w:val="false"/>
          <w:i w:val="false"/>
          <w:caps w:val="false"/>
          <w:smallCaps w:val="false"/>
          <w:sz w:val="20"/>
        </w:rPr>
        <w:t>: since trains travel the same route several times a day, the comparison of observed data received by our railway detection system can discover infrastructures such as posts, signaling systems, electronics boxes, and check their actual location using system measurements based on an image-based navigation (IBN) algorithm, and compare the data with existing records and provide updates. This saves both time and money, as the expense of remapping a railway track is rarely done, and usually forces stretches of track to be closed for such updates. This application of our railway detection system is in the R&amp;D stage.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Big Data</w:t>
      </w:r>
      <w:r>
        <w:rPr>
          <w:rFonts w:ascii="Times New Roman;Times;Serif" w:hAnsi="Times New Roman;Times;Serif"/>
          <w:b w:val="false"/>
          <w:i w:val="false"/>
          <w:caps w:val="false"/>
          <w:smallCaps w:val="false"/>
          <w:sz w:val="20"/>
        </w:rPr>
        <w:t>: this application of our system will be based on long-term collection of data from Company’s sensors installed on trains to provide relevant data on infrastructure, train traffic and the surroundings. Analysis of the data will generate reports showing trends in driver behavior and the surrounding area and conditions, which will help train operators reduce downtime caused by infrastructure problems, and improve the synchronization of trains, as required by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this application is only at the start of the research and development stages and is also conditioned on the installation and operation of about one hundred railway detection systems in order to obtain sufficient data for its operation, assuming the successful completion of its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offer the Big Data applications as an added value to our system to be installed at the customer and not as a separate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 Railways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2023, we signed a contract with Israel Railways to supply 10 systems. The initial deliveries started during the first quarter of 2023. We believe that the first order for such system by a commercial operator will have an impact on the market. The total amount is approximately $1.40 million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Latin American mining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received a $500,000 purchase order for a single Main Line system and related services from a leading Latin American mining company, which was delivered to the new customer in December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US-based rail and leasing services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signed a supply contract with a leading US-based rail and leasing services company valued at up to $5,000,000 (USD) for the purchase our AI-based Switch Yard Systems. The first phase of the contract is valued at $1,000,000 (USD). Follow-on orders for additional Switch Yard Systems, valued at up to $4,000,000, are subject to customer approval. The contract also includes specific purchase quotas that, if met, provide the customer with exclusivity in the North American industrial railyards switching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Knorr-Bremse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series of strategic and investment agreements with Knorr-Bremse or affiliates of Knorr-Bremse. Knorr-Bremse is a 110 year old multi-billion dollar market cap company traded on the Frankfurt Stock Exchange. With more than 30,000 employees at over 100 locations in more than 30 countries around the globe Knorr-Bremse is a world leader in braking &amp; peripheral systems generating total of sales of EUR 7.1 billion in 2022. As one of our strategic investors, Knorr-Bremse has invested approximately $28 million in us. See “Major Shareholders and Related Party Transactions—Related Party Transactions—Knorr-Bremse”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KBCH Framework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we entered into a framework agreement, or the Framework Agreement, with KBCH (a subsidiary of Knorr-Bremse operating in Switzerland) regarding the supply of a prototype of our system to the shunting yard of a company operating cargo trains in Switzerland, or SBBC. Under the Framework Agreement, we provided KBCH one prototype of the system which was installed on an operating locomotive in an SBBC shunting yard, for the purpose of examining the operational performance of the system, or the Operational Function Test. In consideration for the prototype provided in October 2020 for the Operational Function Test, KBCH paid us approximately EUR 244,000 (approx. $293,000). The Company continues the cooperation with KBCH under the Framework Agreement for the upcoming tender. As of the date of this Annual Report on Form 20-F, SBB (the mother company of SBB cargo) has cancelled the procurement process of for the evaluation evaluation of the shunting yards system due to lack of resources.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Partnership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2021, we entered into a Strategic Partnership Agreement with Knorr-Bremse. Under the terms of the Strategic Partnership Agreement, we will collaborate with Knorr-Bremse with respect to joint projects, based on the following principles: (a)(i) the expansion of the Knorr-Bremse Railway Driver Assistance Systems to the field of environmental observation, or (ii) future collaboration in the areas of barrier identification and classification systems in the railway industry; and (b) as part of the framework, we will provide Knorr-Bremse the technology needed in order to fulfilling the customer’s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further provides, among other things, that (i) in the event that a customer is presented to us by Knorr-Bremse, subject to the certain conditions, Knorr-Bremse will be entitled to serve as the main contractor for such project, (ii) for any joint project, the parties will mutually agree on the identity of the main contractor and (iii) we will instruct and train the local Knorr-Bremse missions to provide field support services for our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the terms of the agreement is subject to future approvals and agreements between the parties and third parties, including transactions that may be subject to the related party transaction rules under the Companies Act, and, as such, there is no certainty that such transactions will be executed,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agreement will expire three years after the date of the agreement, or August 19,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Agreement with Israel Railways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2016, we entered into a Cooperation Agreement with Israel Railways Ltd. (a governmental company fully owned by the State of Israel), which was further amended on January 19,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we undertook to fulfill certain functions for the development, marketing, distribution and sale of the system, and Israel Railways undertook to provide us with services and the means to perform tests and experiments, mainly in logistics and manpower, and to provide us with information on certain data that will be given at the discretion of Israel Railways.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we agreed to pay Israel Railways the following payments: (i) during the period from August 3, 2016 and until the earliest of (a) a period of 5 years from the date of our first commercial sale or (b) our initial public offering on April 4, 2022 or (c) a change of control (as defined in the agreement), Israel Railways will be entitled to a payment of royalties in the amount of 2.75% of our net sales, and (ii) during the period from August 3, 2016 until the earliest of: (a) our initial public offering on April 4, 2022 or (b) a change of control (as defined in the agreement) Israel Railways will be entitled to 1.5% of the total proceeds from an IPO or consideration, received by us or our shareholders, as a result of a change of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our initial public offering, the Israel Railways became entitled to a consideration of 1.5% of the actual proceeds from our initial public offering, which was approximately $213,000, and accordingly their right to royalties has expired.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further provides that Israel Railways will be entitled to purchase our products and services at a price equal to half the lowest price charged by us for those products and services to an unrelated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part of the agreement and in consideration for services provided to us by Israel Railways, we granted Israel Railways warrants to purchase 195,448 of our ordinary shares with a nominal exercise price. The warrants were initially exercisable upon the earlier of an IPO or a change of control. According to amendments to the agreement we amended the warrant to extend the exercise period, until the earlier of: (1) five business days following the day in which Israel Railways obtained the necessary governmental approvals; or (2) June 30, 2023. On January 25, 2023, Israel Railways provided notice of its exercise of the warrants, pursuant to which we issued 195,448 ordinary shares to Israel Railways.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was terminated in January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current and potential competitors have extensive track records and relationships within the rail industry and/or the automotive industry. Many of our current and potential competitors have longer operating histories and more extensive name recognition than we have and may also have greater financial, marketing, manufacturing, distribution and other resources than we have. In particular, we operate in a market where most of our competitors are giant corporations such as Bosch Engineering GmbH, ALSTOM Holdings, Siemens Mobility GmbH and Toshiba Infrastructure Systems &amp; Solutions Corporation with others such as 4Tel Pty Ltd and Cognitive Pilot LLC. Current and future competitors may be able to respond more quickly to new or emerging technologies and changes in customer demands and to devote greater resources to the development, promotion and sale of their products than we can.</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some of the competitors that have used existing systems from the motor vehicle world and adjusted them to the railway environment, we develop our railway detection systems from the beginning to operate on trains. Additionally, in terms of the ability to identify hazards at far longer distances, our railway detection system functions can not only discover obstacles on the tracks but also identify these obstacles. We believe that our railway detection system’s contribution to train safety will be greater than that of existing railway detection systems by our competitors. Thus, by our estimate, the railway detection systems offered by competitors for mainline trains have relatively limited capabilities compared to the capabilities of our RV2000 system. From our own analysis, we believe that our competitors offer a shorter range-detection distance and provide a lower detection probability of obstacles than the railway detection systems we have developed.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competitors offer a shorter range-detection distance and provide a lower detection probability of obstacles. Our systems consist of electro-optic sensors using artificial intelligence for automatic identification, classification of obstacles along the tracks at distances which, to the best of our knowledge, are longer than those of the competition. Our railway detection systems also have a greater degree of accuracy and higher probability to detect obstacles, which, to the best of our knowledge, results in fewer false alerts compared to competing products.</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expected contribution of our systems to increase the safety of train operations, our railway systems are also designed to help in predictive maintenance of railway infrastructure, due to the constant monitoring of the railway tracks by its sensors. As far as we know, this function does not exist in any competing systems.</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864"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several competing companies are developing systems to help drivers. Some derive from the world of trains, others from the wheeled vehicle industry. These companies adapt technologies from the vehicle industry for use with trains, for long distance identification of hazards, particularly in the LRV segment. These technologies are generally based on LIDAR technology and/or radar scans with cameras, and as far as we know, have not yet been shown to be suitable for the railway environment, in terms of discovery ranges and required performance. In addition, we don’t expect our LRV system to be sold at a lower price than competitors’ prices due to our use of more advanced components than our competitors.</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differentiate our systems by focusing on their unique ability to use AI algorithms in real time to provide alerts to the driver throughout the entire drive. In our estimation, the advantages of our technology over the competition are:</w:t>
      </w:r>
    </w:p>
    <w:p>
      <w:pPr>
        <w:pStyle w:val="TextBody"/>
        <w:bidi w:val="0"/>
        <w:spacing w:before="0" w:after="0"/>
        <w:ind w:left="86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railway detection system is based on passive technology that uses video images or thermal images, unlike other railway detection systems that are based on obstacle discovery using radar or lasers (which emit radiation along the railway track) in train stations, and already exist in the market for LRV and in level crossing – we do not know of any other system that reaches 2 kilometers classification.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several field trials, our railway detection systems have shown an ability to identify objects at distances of up to 2,000 meters. Discovering obstacles at a long range is essential for effectively discovering obstacles since there is a long braking distances required by trains to come to a complete stop from the time the obstacle is identified.</w:t>
            </w:r>
          </w:p>
        </w:tc>
      </w:tr>
    </w:tbl>
    <w:p>
      <w:pPr>
        <w:pStyle w:val="TextBody"/>
        <w:bidi w:val="0"/>
        <w:spacing w:before="0" w:after="0"/>
        <w:ind w:left="86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railway detection systems, compared to LIDAR technology, are less sensitive to platform speed or rocking motions, higher resolution and are able to classify obstacles at longer distances compared to competing railway detection systems.</w:t>
            </w:r>
          </w:p>
        </w:tc>
      </w:tr>
    </w:tbl>
    <w:p>
      <w:pPr>
        <w:pStyle w:val="TextBody"/>
        <w:bidi w:val="0"/>
        <w:spacing w:before="0" w:after="0"/>
        <w:ind w:left="86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detection systems are based on passive technology, and are therefore not exposed to interference due to hot spots and reflection overload. Other technologies such as radar are sensitive to the presence of metallic objects (such as screws, springs and other metallic objects etc.) which are often found on or near railway tracks.</w:t>
            </w:r>
          </w:p>
        </w:tc>
      </w:tr>
    </w:tbl>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table gives representative details of various solutions currently available on the market in the field of identifying obstacles on railway tracks. The following information is based on our beliefs, has been provided to us from publications by the various competitors listed below and has not been independently verified by 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15" w:type="dxa"/>
        <w:tblLayout w:type="fixed"/>
        <w:tblCellMar>
          <w:top w:w="28" w:type="dxa"/>
          <w:left w:w="108" w:type="dxa"/>
          <w:bottom w:w="28" w:type="dxa"/>
          <w:right w:w="108" w:type="dxa"/>
        </w:tblCellMar>
      </w:tblPr>
      <w:tblGrid>
        <w:gridCol w:w="1585"/>
        <w:gridCol w:w="812"/>
        <w:gridCol w:w="2362"/>
        <w:gridCol w:w="2799"/>
        <w:gridCol w:w="2647"/>
      </w:tblGrid>
      <w:tr>
        <w:trPr/>
        <w:tc>
          <w:tcPr>
            <w:tcW w:w="10205" w:type="dxa"/>
            <w:gridSpan w:val="5"/>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Shunting Yard</w:t>
            </w:r>
          </w:p>
        </w:tc>
      </w:tr>
      <w:tr>
        <w:trPr/>
        <w:tc>
          <w:tcPr>
            <w:tcW w:w="1585" w:type="dxa"/>
            <w:tcBorders>
              <w:left w:val="single" w:sz="12" w:space="0" w:color="000000"/>
              <w:bottom w:val="single" w:sz="12" w:space="0" w:color="000000"/>
              <w:right w:val="single" w:sz="12" w:space="0" w:color="000000"/>
            </w:tcBorders>
            <w:tcMar>
              <w:top w:w="0" w:type="dxa"/>
              <w:left w:w="28" w:type="dxa"/>
              <w:right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Name</w:t>
            </w:r>
          </w:p>
        </w:tc>
        <w:tc>
          <w:tcPr>
            <w:tcW w:w="812"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w:t>
            </w:r>
          </w:p>
        </w:tc>
        <w:tc>
          <w:tcPr>
            <w:tcW w:w="2362"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&amp; Features</w:t>
            </w:r>
          </w:p>
        </w:tc>
        <w:tc>
          <w:tcPr>
            <w:tcW w:w="2799"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Analysis</w:t>
            </w:r>
          </w:p>
        </w:tc>
        <w:tc>
          <w:tcPr>
            <w:tcW w:w="2647"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Homologation</w:t>
            </w:r>
          </w:p>
        </w:tc>
      </w:tr>
      <w:tr>
        <w:trPr/>
        <w:tc>
          <w:tcPr>
            <w:tcW w:w="15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Cognitive Pilot LLC</w:t>
            </w:r>
          </w:p>
        </w:tc>
        <w:tc>
          <w:tcPr>
            <w:tcW w:w="81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Shunting Yard</w:t>
            </w:r>
          </w:p>
        </w:tc>
        <w:tc>
          <w:tcPr>
            <w:tcW w:w="2362"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combination of daylight camera + radar</w:t>
            </w:r>
          </w:p>
          <w:p>
            <w:pPr>
              <w:pStyle w:val="TableContents"/>
              <w:bidi w:val="0"/>
              <w:spacing w:before="0" w:after="0"/>
              <w:ind w:left="0" w:right="0" w:hanging="0"/>
              <w:jc w:val="left"/>
              <w:rPr>
                <w:caps w:val="false"/>
                <w:smallCaps w:val="false"/>
              </w:rPr>
            </w:pPr>
            <w:r>
              <w:rPr>
                <w:caps w:val="false"/>
                <w:smallCaps w:val="false"/>
              </w:rPr>
              <w:t> </w:t>
            </w:r>
          </w:p>
        </w:tc>
        <w:tc>
          <w:tcPr>
            <w:tcW w:w="2799"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system incorporates a short-range radar camera;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best of the Company’s knowledge, the system is in development and has not yet been sold in serial production. No existing customers are known beyond demos.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understands that the system operates at shorter ranges than the Company’s system.</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the best of the Company’s knowledge, the competitor’s system does not include a thermal camera, unlike the Company’s system, which has a thermal camera that enables visual identification even at night.</w:t>
            </w:r>
          </w:p>
          <w:p>
            <w:pPr>
              <w:pStyle w:val="TableContents"/>
              <w:bidi w:val="0"/>
              <w:spacing w:before="0" w:after="0"/>
              <w:ind w:left="0" w:right="0" w:hanging="0"/>
              <w:jc w:val="left"/>
              <w:rPr>
                <w:caps w:val="false"/>
                <w:smallCaps w:val="false"/>
              </w:rPr>
            </w:pPr>
            <w:r>
              <w:rPr>
                <w:caps w:val="false"/>
                <w:smallCaps w:val="false"/>
              </w:rPr>
              <w:t> </w:t>
            </w:r>
          </w:p>
        </w:tc>
        <w:tc>
          <w:tcPr>
            <w:tcW w:w="2647"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 standardization process that this competitor has initiated. </w:t>
            </w:r>
          </w:p>
          <w:p>
            <w:pPr>
              <w:pStyle w:val="TableContents"/>
              <w:bidi w:val="0"/>
              <w:spacing w:before="0" w:after="0"/>
              <w:ind w:left="0" w:right="0" w:hanging="0"/>
              <w:jc w:val="left"/>
              <w:rPr>
                <w:caps w:val="false"/>
                <w:smallCaps w:val="false"/>
              </w:rPr>
            </w:pPr>
            <w:r>
              <w:rPr>
                <w:caps w:val="false"/>
                <w:smallCaps w:val="false"/>
              </w:rPr>
              <w:t> </w:t>
            </w:r>
          </w:p>
        </w:tc>
      </w:tr>
      <w:tr>
        <w:trPr/>
        <w:tc>
          <w:tcPr>
            <w:tcW w:w="15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Toshiba Infrastructure Systems &amp; Solutions Corporation</w:t>
            </w:r>
          </w:p>
        </w:tc>
        <w:tc>
          <w:tcPr>
            <w:tcW w:w="81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Shunting Yard</w:t>
            </w:r>
          </w:p>
        </w:tc>
        <w:tc>
          <w:tcPr>
            <w:tcW w:w="236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high resolution daylight camera with AI capabilities</w:t>
            </w:r>
          </w:p>
        </w:tc>
        <w:tc>
          <w:tcPr>
            <w:tcW w:w="2799"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best of the Company’s knowledge, the detection ranges of Toshiba’s system are similar to the detection ranges of the Company’s system;</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competitor is a train manufacturer with high technological and financial capabilities; able to integrate the system as an integral product in its systems;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best of the Company’s knowledge, the system is still under development.</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the best of the Company’s knowledge, the competing system does not include a thermal camera, unlike the Company’s system, which has a thermal camera that enables visual identification even at night.</w:t>
            </w:r>
          </w:p>
          <w:p>
            <w:pPr>
              <w:pStyle w:val="TableContents"/>
              <w:bidi w:val="0"/>
              <w:spacing w:before="0" w:after="0"/>
              <w:ind w:left="0" w:right="0" w:hanging="0"/>
              <w:jc w:val="left"/>
              <w:rPr>
                <w:caps w:val="false"/>
                <w:smallCaps w:val="false"/>
              </w:rPr>
            </w:pPr>
            <w:r>
              <w:rPr>
                <w:caps w:val="false"/>
                <w:smallCaps w:val="false"/>
              </w:rPr>
              <w:t> </w:t>
            </w:r>
          </w:p>
        </w:tc>
        <w:tc>
          <w:tcPr>
            <w:tcW w:w="2647"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 standardization process that this competitor has initiated. </w:t>
            </w:r>
          </w:p>
          <w:p>
            <w:pPr>
              <w:pStyle w:val="TableContents"/>
              <w:bidi w:val="0"/>
              <w:spacing w:before="0" w:after="0"/>
              <w:ind w:left="0" w:right="0" w:hanging="0"/>
              <w:jc w:val="left"/>
              <w:rPr>
                <w:caps w:val="false"/>
                <w:smallCaps w:val="false"/>
              </w:rPr>
            </w:pPr>
            <w:r>
              <w:rPr>
                <w:caps w:val="false"/>
                <w:smallCaps w:val="false"/>
              </w:rPr>
              <w:t> </w:t>
            </w:r>
          </w:p>
        </w:tc>
      </w:tr>
      <w:tr>
        <w:trPr/>
        <w:tc>
          <w:tcPr>
            <w:tcW w:w="15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Bosch Engineering GmbH</w:t>
            </w:r>
          </w:p>
        </w:tc>
        <w:tc>
          <w:tcPr>
            <w:tcW w:w="81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Shunting Yard</w:t>
            </w:r>
          </w:p>
        </w:tc>
        <w:tc>
          <w:tcPr>
            <w:tcW w:w="2362"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Tram forward collision warning (TFCW), Based on a solution from the wheeled vehicle industry, on the market since 2017. Approved for use with LRV under a European standard.</w:t>
            </w:r>
          </w:p>
          <w:p>
            <w:pPr>
              <w:pStyle w:val="TableContents"/>
              <w:bidi w:val="0"/>
              <w:spacing w:before="0" w:after="0"/>
              <w:ind w:left="0" w:right="0" w:hanging="0"/>
              <w:jc w:val="left"/>
              <w:rPr>
                <w:caps w:val="false"/>
                <w:smallCaps w:val="false"/>
              </w:rPr>
            </w:pPr>
            <w:r>
              <w:rPr>
                <w:caps w:val="false"/>
                <w:smallCaps w:val="false"/>
              </w:rPr>
              <w:t> </w:t>
            </w:r>
          </w:p>
        </w:tc>
        <w:tc>
          <w:tcPr>
            <w:tcW w:w="2799"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Advantages: </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According to public announcements, the system has been sold to LRV customers. Bosch’s past experience is an advantage.</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the best of the Company’s knowledge, the Bosch system is sold at a competitive price at the LRV market</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Bosch is a global company with high technological and financial capabilities compared to the Company.</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system also includes short-range radar.</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best of the Company’s knowledge Bosch system is designed to the LRV market, not for shunting.</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Bosch’s system does not include a thermal camera like the system developed by the Company, which includes a thermal camera that allows visual identification even at night.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aware that the competing system has a high false alarm rate.</w:t>
            </w:r>
          </w:p>
        </w:tc>
        <w:tc>
          <w:tcPr>
            <w:tcW w:w="2647"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installation of such a system requires standardization, it can be assumed that Bosch has the standard required to install such a system in the cities where the system is installed.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15" w:type="dxa"/>
        <w:tblLayout w:type="fixed"/>
        <w:tblCellMar>
          <w:top w:w="28" w:type="dxa"/>
          <w:left w:w="108" w:type="dxa"/>
          <w:bottom w:w="28" w:type="dxa"/>
          <w:right w:w="108" w:type="dxa"/>
        </w:tblCellMar>
      </w:tblPr>
      <w:tblGrid>
        <w:gridCol w:w="1098"/>
        <w:gridCol w:w="889"/>
        <w:gridCol w:w="2180"/>
        <w:gridCol w:w="3309"/>
        <w:gridCol w:w="2729"/>
      </w:tblGrid>
      <w:tr>
        <w:trPr/>
        <w:tc>
          <w:tcPr>
            <w:tcW w:w="10205" w:type="dxa"/>
            <w:gridSpan w:val="5"/>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Shunting Yard</w:t>
            </w:r>
          </w:p>
        </w:tc>
      </w:tr>
      <w:tr>
        <w:trPr/>
        <w:tc>
          <w:tcPr>
            <w:tcW w:w="1098" w:type="dxa"/>
            <w:tcBorders>
              <w:left w:val="single" w:sz="12" w:space="0" w:color="000000"/>
              <w:bottom w:val="single" w:sz="12" w:space="0" w:color="000000"/>
              <w:right w:val="single" w:sz="12" w:space="0" w:color="000000"/>
            </w:tcBorders>
            <w:tcMar>
              <w:top w:w="0" w:type="dxa"/>
              <w:left w:w="28" w:type="dxa"/>
              <w:right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Name</w:t>
            </w:r>
          </w:p>
        </w:tc>
        <w:tc>
          <w:tcPr>
            <w:tcW w:w="889"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w:t>
            </w:r>
          </w:p>
        </w:tc>
        <w:tc>
          <w:tcPr>
            <w:tcW w:w="218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&amp; Features</w:t>
            </w:r>
          </w:p>
        </w:tc>
        <w:tc>
          <w:tcPr>
            <w:tcW w:w="3309"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Analysis</w:t>
            </w:r>
          </w:p>
        </w:tc>
        <w:tc>
          <w:tcPr>
            <w:tcW w:w="2729"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Homologation</w:t>
            </w:r>
          </w:p>
        </w:tc>
      </w:tr>
      <w:tr>
        <w:trPr/>
        <w:tc>
          <w:tcPr>
            <w:tcW w:w="109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OTIV</w:t>
            </w:r>
          </w:p>
        </w:tc>
        <w:tc>
          <w:tcPr>
            <w:tcW w:w="889"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Shunting Yard</w:t>
            </w:r>
          </w:p>
        </w:tc>
        <w:tc>
          <w:tcPr>
            <w:tcW w:w="21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system is based on an array of day cameras with integrated AI.</w:t>
            </w:r>
          </w:p>
          <w:p>
            <w:pPr>
              <w:pStyle w:val="TableContents"/>
              <w:bidi w:val="0"/>
              <w:spacing w:before="0" w:after="0"/>
              <w:ind w:left="0" w:right="0" w:hanging="0"/>
              <w:jc w:val="left"/>
              <w:rPr>
                <w:caps w:val="false"/>
                <w:smallCaps w:val="false"/>
              </w:rPr>
            </w:pPr>
            <w:r>
              <w:rPr>
                <w:caps w:val="false"/>
                <w:smallCaps w:val="false"/>
              </w:rPr>
              <w:t> </w:t>
            </w:r>
          </w:p>
        </w:tc>
        <w:tc>
          <w:tcPr>
            <w:tcW w:w="3309"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EU based company</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Mobile system</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To the best of the Company’s knowledge, the ranges are lower than our system.</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Depends on 4G/5G – might be a problem when there is no cellular connectivity.</w:t>
            </w:r>
          </w:p>
        </w:tc>
        <w:tc>
          <w:tcPr>
            <w:tcW w:w="2729"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 standardization process that this competitor has initiated. </w:t>
            </w:r>
          </w:p>
          <w:p>
            <w:pPr>
              <w:pStyle w:val="TableContents"/>
              <w:bidi w:val="0"/>
              <w:spacing w:before="0" w:after="0"/>
              <w:ind w:left="0" w:right="0" w:hanging="0"/>
              <w:jc w:val="left"/>
              <w:rPr>
                <w:caps w:val="false"/>
                <w:smallCaps w:val="false"/>
              </w:rPr>
            </w:pPr>
            <w:r>
              <w:rPr>
                <w:caps w:val="false"/>
                <w:smallCaps w:val="false"/>
              </w:rPr>
              <w:t> </w:t>
            </w:r>
          </w:p>
        </w:tc>
      </w:tr>
      <w:tr>
        <w:trPr/>
        <w:tc>
          <w:tcPr>
            <w:tcW w:w="109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ALSTOM Holdings</w:t>
            </w:r>
          </w:p>
        </w:tc>
        <w:tc>
          <w:tcPr>
            <w:tcW w:w="889"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Shunting Yard</w:t>
            </w:r>
          </w:p>
        </w:tc>
        <w:tc>
          <w:tcPr>
            <w:tcW w:w="218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system is based on an array of day cameras with integrated AI.</w:t>
            </w:r>
          </w:p>
          <w:p>
            <w:pPr>
              <w:pStyle w:val="TableContents"/>
              <w:bidi w:val="0"/>
              <w:spacing w:before="0" w:after="0"/>
              <w:ind w:left="0" w:right="0" w:hanging="0"/>
              <w:jc w:val="left"/>
              <w:rPr>
                <w:caps w:val="false"/>
                <w:smallCaps w:val="false"/>
              </w:rPr>
            </w:pPr>
            <w:r>
              <w:rPr>
                <w:caps w:val="false"/>
                <w:smallCaps w:val="false"/>
              </w:rPr>
              <w:t> </w:t>
            </w:r>
          </w:p>
        </w:tc>
        <w:tc>
          <w:tcPr>
            <w:tcW w:w="3309"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Advantages:</w:t>
            </w:r>
          </w:p>
          <w:p>
            <w:pPr>
              <w:pStyle w:val="TableContents"/>
              <w:bidi w:val="0"/>
              <w:spacing w:before="0" w:after="0"/>
              <w:ind w:left="709"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Alstom is a major player within the railways industry with high technological and financial capabilities</w:t>
            </w:r>
          </w:p>
          <w:p>
            <w:pPr>
              <w:pStyle w:val="TableContents"/>
              <w:bidi w:val="0"/>
              <w:spacing w:before="0" w:after="0"/>
              <w:ind w:left="709"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Partnering with ELTA (major player in Radar’s)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w:t>
            </w:r>
          </w:p>
        </w:tc>
        <w:tc>
          <w:tcPr>
            <w:tcW w:w="2729"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 standardization process that this competitor has initiated.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108" w:type="dxa"/>
          <w:bottom w:w="28" w:type="dxa"/>
          <w:right w:w="108" w:type="dxa"/>
        </w:tblCellMar>
      </w:tblPr>
      <w:tblGrid>
        <w:gridCol w:w="1107"/>
        <w:gridCol w:w="772"/>
        <w:gridCol w:w="2010"/>
        <w:gridCol w:w="3789"/>
        <w:gridCol w:w="2527"/>
      </w:tblGrid>
      <w:tr>
        <w:trPr/>
        <w:tc>
          <w:tcPr>
            <w:tcW w:w="10205" w:type="dxa"/>
            <w:gridSpan w:val="5"/>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 Line</w:t>
            </w:r>
          </w:p>
        </w:tc>
      </w:tr>
      <w:tr>
        <w:trPr/>
        <w:tc>
          <w:tcPr>
            <w:tcW w:w="1107" w:type="dxa"/>
            <w:tcBorders>
              <w:left w:val="single" w:sz="12" w:space="0" w:color="000000"/>
              <w:bottom w:val="single" w:sz="12" w:space="0" w:color="000000"/>
              <w:right w:val="single" w:sz="12" w:space="0" w:color="000000"/>
            </w:tcBorders>
            <w:tcMar>
              <w:top w:w="0" w:type="dxa"/>
              <w:left w:w="28" w:type="dxa"/>
              <w:right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Name</w:t>
            </w:r>
          </w:p>
        </w:tc>
        <w:tc>
          <w:tcPr>
            <w:tcW w:w="772"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w:t>
            </w:r>
          </w:p>
        </w:tc>
        <w:tc>
          <w:tcPr>
            <w:tcW w:w="201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&amp; Features</w:t>
            </w:r>
          </w:p>
        </w:tc>
        <w:tc>
          <w:tcPr>
            <w:tcW w:w="3789"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Analysis</w:t>
            </w:r>
          </w:p>
        </w:tc>
        <w:tc>
          <w:tcPr>
            <w:tcW w:w="2527"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Homologation</w:t>
            </w:r>
          </w:p>
        </w:tc>
      </w:tr>
      <w:tr>
        <w:trPr/>
        <w:tc>
          <w:tcPr>
            <w:tcW w:w="110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4Tel Pty Ltd (AI machine)</w:t>
            </w:r>
          </w:p>
        </w:tc>
        <w:tc>
          <w:tcPr>
            <w:tcW w:w="77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Line</w:t>
            </w:r>
          </w:p>
        </w:tc>
        <w:tc>
          <w:tcPr>
            <w:tcW w:w="201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system is based on an array of day cameras with integrated AI.</w:t>
            </w:r>
          </w:p>
          <w:p>
            <w:pPr>
              <w:pStyle w:val="TableContents"/>
              <w:bidi w:val="0"/>
              <w:spacing w:before="0" w:after="0"/>
              <w:ind w:left="0" w:right="0" w:hanging="0"/>
              <w:jc w:val="left"/>
              <w:rPr>
                <w:caps w:val="false"/>
                <w:smallCaps w:val="false"/>
              </w:rPr>
            </w:pPr>
            <w:r>
              <w:rPr>
                <w:caps w:val="false"/>
                <w:smallCaps w:val="false"/>
              </w:rPr>
              <w:t> </w:t>
            </w:r>
          </w:p>
        </w:tc>
        <w:tc>
          <w:tcPr>
            <w:tcW w:w="3789"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Advantages:</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local competitor in Australia in the RIO TINTO project. The competitor may have an advantage due to its being a local manufacturer in Australia.</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Disadvantages:</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the Company’s knowledge, the demo has been shown to a customer for a specific use.</w:t>
            </w:r>
          </w:p>
          <w:p>
            <w:pPr>
              <w:pStyle w:val="TableContents"/>
              <w:bidi w:val="0"/>
              <w:spacing w:before="0" w:after="0"/>
              <w:ind w:left="0" w:right="0" w:hanging="0"/>
              <w:jc w:val="left"/>
              <w:rPr>
                <w:caps w:val="false"/>
                <w:smallCaps w:val="false"/>
              </w:rPr>
            </w:pPr>
            <w:r>
              <w:rPr>
                <w:caps w:val="false"/>
                <w:smallCaps w:val="false"/>
              </w:rPr>
              <w:t> </w:t>
            </w:r>
          </w:p>
        </w:tc>
        <w:tc>
          <w:tcPr>
            <w:tcW w:w="2527"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 standardization process that this competitor has initiated. </w:t>
            </w:r>
          </w:p>
        </w:tc>
      </w:tr>
      <w:tr>
        <w:trPr/>
        <w:tc>
          <w:tcPr>
            <w:tcW w:w="110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ELTA Systems Ltd</w:t>
            </w:r>
          </w:p>
        </w:tc>
        <w:tc>
          <w:tcPr>
            <w:tcW w:w="77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Line</w:t>
            </w:r>
          </w:p>
        </w:tc>
        <w:tc>
          <w:tcPr>
            <w:tcW w:w="2010"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system is based on an array of day cameras with integrated AI.</w:t>
            </w:r>
          </w:p>
          <w:p>
            <w:pPr>
              <w:pStyle w:val="TableContents"/>
              <w:bidi w:val="0"/>
              <w:spacing w:before="0" w:after="0"/>
              <w:ind w:left="0" w:right="0" w:hanging="0"/>
              <w:jc w:val="left"/>
              <w:rPr>
                <w:caps w:val="false"/>
                <w:smallCaps w:val="false"/>
              </w:rPr>
            </w:pPr>
            <w:r>
              <w:rPr>
                <w:caps w:val="false"/>
                <w:smallCaps w:val="false"/>
              </w:rPr>
              <w:t> </w:t>
            </w:r>
          </w:p>
        </w:tc>
        <w:tc>
          <w:tcPr>
            <w:tcW w:w="3789"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ELTA is world leader in Radar technology with years of experience within Radar and EO systems.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Won the RDSO tender in India</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best of our knowledge, the system is still under development</w:t>
            </w:r>
          </w:p>
          <w:p>
            <w:pPr>
              <w:pStyle w:val="TableContents"/>
              <w:bidi w:val="0"/>
              <w:spacing w:before="0" w:after="0"/>
              <w:ind w:left="0" w:right="0" w:hanging="0"/>
              <w:jc w:val="left"/>
              <w:rPr>
                <w:caps w:val="false"/>
                <w:smallCaps w:val="false"/>
              </w:rPr>
            </w:pPr>
            <w:r>
              <w:rPr>
                <w:caps w:val="false"/>
                <w:smallCaps w:val="false"/>
              </w:rPr>
              <w:t> </w:t>
            </w:r>
          </w:p>
        </w:tc>
        <w:tc>
          <w:tcPr>
            <w:tcW w:w="2527"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 standardization process that this competitor has initiated. </w:t>
            </w:r>
          </w:p>
          <w:p>
            <w:pPr>
              <w:pStyle w:val="TableContents"/>
              <w:bidi w:val="0"/>
              <w:spacing w:before="0" w:after="0"/>
              <w:ind w:left="0" w:right="0" w:hanging="0"/>
              <w:jc w:val="left"/>
              <w:rPr>
                <w:caps w:val="false"/>
                <w:smallCaps w:val="false"/>
              </w:rPr>
            </w:pPr>
            <w:r>
              <w:rPr>
                <w:caps w:val="false"/>
                <w:smallCaps w:val="false"/>
              </w:rPr>
              <w:t> </w:t>
            </w:r>
          </w:p>
        </w:tc>
      </w:tr>
      <w:tr>
        <w:trPr/>
        <w:tc>
          <w:tcPr>
            <w:tcW w:w="110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Thales Group (RailBot)</w:t>
            </w:r>
          </w:p>
        </w:tc>
        <w:tc>
          <w:tcPr>
            <w:tcW w:w="772"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Line</w:t>
            </w:r>
          </w:p>
        </w:tc>
        <w:tc>
          <w:tcPr>
            <w:tcW w:w="201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daylight camera with AI capabilities</w:t>
            </w:r>
          </w:p>
        </w:tc>
        <w:tc>
          <w:tcPr>
            <w:tcW w:w="3789"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Advantages:</w:t>
            </w:r>
          </w:p>
          <w:p>
            <w:pPr>
              <w:pStyle w:val="TableContents"/>
              <w:bidi w:val="0"/>
              <w:spacing w:before="0" w:after="0"/>
              <w:ind w:left="709"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Thales is a major player within the railways industry with high technological and financial capabilities.</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Disadvantages:</w:t>
            </w:r>
          </w:p>
          <w:p>
            <w:pPr>
              <w:pStyle w:val="TableContents"/>
              <w:bidi w:val="0"/>
              <w:spacing w:before="0" w:after="0"/>
              <w:ind w:left="72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the best of the Company’s knowledge, the ranges are lower than our system.</w:t>
            </w:r>
          </w:p>
        </w:tc>
        <w:tc>
          <w:tcPr>
            <w:tcW w:w="2527" w:type="dxa"/>
            <w:tcBorders>
              <w:bottom w:val="single" w:sz="12" w:space="0" w:color="000000"/>
              <w:right w:val="single" w:sz="1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 standardization process that this competitor has initiated.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approach is in developing a unique know-how, achieving an advantage and differentiating our railway detection system technology by incorporating advanced technological solutions. We believe that the railway detection system we are developing can provide an effective economic solution for our customers, which includes a return of the investment brought about by the railway detection system’s contribution to the train’s increased safety, the prevention of accidents and unplanned delays in train traffic, and improving the accuracy of railway operations, all of which can save railway operators extensive operating costs.</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advantage of our railway detection system is the option, currently in development, to use the system as an aid to predictive maintenance of railway infrastructure due to the system’s continuous monitoring of the railway tracks on which it travels.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that, we engage the competitive landscape by developing new products, and to the extent that such developments are successfully completed, these products will enable us to face the competition. To provide our customers with additional added value, we are developing maintenance, predictive maintenance, Big Data and GIS services, which may be added on top of our existing system components to make our railway detection system more attractive to the customer.</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railway detection system regularly monitors railway infrastructures and tracks, the system can record and store visual information. Huge amounts of data are built up (Big Data) which, subject to contractual and legal restrictions, could be available to customers for purposes such as identifying possible gaps and faults in tracks and other infrastructure, and updating maps. This capability is an added value to the existing system. To the best of our knowledge, Siemens Mobility GmbH and the 4Tel Pty Ltd company also use infrastructure monitoring capabilities that are based on artificial intelligence. We have no information about the veracity of this competitor’s statement.</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autonomous train industry continues to develop, regulators, including the FRA and the ERA, may adapt existing regulations and create new ones in order to ensure the compatibility of autonomous trains and autonomous train technology with regulatory expectations, requirements relating to safety and legal liability. On March 29, 2018, for instance, the FRA issued a RFI regarding the “future of automation in the railroad industry,” which is part of a broader effort by the U.S. Department of Transportation to advance the safe deployment of autonomous technologies. We cannot anticipate what regulations will materialize from the FRA’s RFI, or from parallel inquiries underway in other countries in which we operate. Likewise, we cannot predict the limitations, restrictions and controls nor the economic consequences flowing from such regulations. Should restrictive regulations apply, they could delay the introduction of autonomous train technology, cause us to redesign aspects of our products, impose additional costs and adversely affect our results of operations. We cannot assure you that we have been or will be at all times in complete compliance with such laws, regulations and permits.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a number of laws and regulations that involve matters central to our business. These laws and regulations involve privacy, data protection, intellectual property, competition, and other subjects. Many of the laws and regulations to which we are subject are still evolving and being tested in courts and could be interpreted in ways that could harm our business. In addition, the application and interpretation of these laws and regulations are often uncertain, particularly in the new and rapidly evolving industry in which we operate. Because global laws and regulations have continued to develop and evolve rapidly, it is possible that we may not be, or may not have been, compliant with each such applicable law or regulation.</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864"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864"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patent protection as well as other effective intellectual property rights for our products and technologies in the United States and internationally. Our policy is to pursue, maintain and defend intellectual property rights developed internally and to protect the technology, inventions and improvements that are commercially important to the development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15 registered patents and 17 pending patent applications. Failure to gain approval for the patent applications filed by us or a change in the patents granted to us, in whole or in part, and the promotion and creation of alternative technologies to our technology, may adversely affect our status and ability to sell the system developed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provisional patent application is a preliminary application that establishes a priority date for the patenting process for the invention concerned and provide certain provisional patent rights. We cannot be certain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technology. Despite our efforts to protect our intellectual property, any of our intellectual property and proprietary rights could be challenged, invalidated, circumvented, infringed or misappropriated, or such intellectual property and proprietary rights may not be sufficient to permit us to take advantage of current market trends or otherwise to provide competitive advantages. For more information, please see “Item 3.D–Risk Factors—Risks Related to our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exposed to claims and/or suits regarding the use of proprietary rights of third parties who received approval for the registration of a patent in respect of an application which had already been filed when we made use of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party to any pending material legal proceedings. From time to time, we may become a party to litigation incident to the ordinary course of our business. Regardless of the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28, 2024, we have five senior management positions, all of whom are engaged on a full-time basis. In addition to our senior management, we have 44 employees in full or part-time capacities. All our employees are located in Israel. In December 2023, we took steps to lower our expenses through a targeted reduction in headcount of our employee base by 12 employees representing approximately 20% of our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employees are represented by labor unions or covered by collective bargaining agreements. We believe that we maintain good relations with all our employees. However, in Israel, we are subject to certain Israeli labor laws, regulations and national labor court precedent rulings, as well as certain provisions of collective bargaining agreements applicable to us by virtue of extension orders issued in accordance with relevant labor laws by the Israeli Ministry of Economy and which apply such agreement provisions to our employees even though they are not part of a union that has signed a collective bargaining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employment and consulting agreements include employees’ and consultants’ undertakings with respect to non-competition and assignment to us of intellectual property rights developed in the course of employment and confidentiality. The enforceability of such provisions is subject to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C. Organizational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D. Property,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which includes our offices and research and development facility, is located at 15 Ha’Tidhar St., Ra’anana 4366517, Israel, where we currently occupy approximately 16,900 square feet. We lease our facilities and our lease ends in September 2026. At the end of the term, we have the option to extend the lease for an additional five years. Our monthly rent payment is NIS 92,000 (approximately $25,000), and in 2026, the monthly rent will increase to NIS 96,175 (approximately $26,000).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current space sufficient to meet our anticipated needs for the foreseeable future and believe our current space is suitable for the conduct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w:t>
        <w:br/>
        <w:t>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financial statements and the related notes included elsewhere in this annual report. The discussion below contains forward-looking statements that are based upon our current expectations and are subject to uncertainty and changes in circumstances. Actual results may differ materially from these expectations due to inaccurate assumptions and known or unknown risks and uncertainties, including those identified in “Cautionary Note Regarding Forward-Looking Statements” and under “Risk Factors” elsewhere in this annual report. The following discussion of the financial condition and results of operations is for the years ended December 31, 2023 and 2022. Discussion regarding our financial condition and results of operations for the year ended December 31, 2022 as compared to the year ended December 31, 2021 is included in Item 5 of our Annual Report on Form 20-F for the year ended December 31, 2022, filed with the SEC on March 23,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 stage technology company that is seeking to revolutionize railway safety and the data-related market. We believe we have developed cutting edge, AI based, industry-leading detection technology specifically designed for railways, with investments from Knorr-Bremse, a world-class rail system manufacturer. We have developed our railway detection and systems to save lives, increase efficiency, and dramatically reduce expenses for the railway operator.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long-term pilot with Israel Railways that was concluded in August 2022, in January 2023, we signed an agreement with Israel Railways for the purchase of 10 Rail Vision Main Line Systems, which installation started in February 2024. In addition, after a successful six-month long-term pilot with a US-based rail and leasing services company, in January 2024, we signed a supply contract with this customer valued at up to $5,000,000 (USD) for the purchase our AI-based Switch Yard Systems. The first phase of the contract is valued at $1,000,000 (USD). Follow-on orders for additional Switch Yard Systems, valued at up to $4,000,000, are subject to customer approval. Also, in October 2023, we received a $500,000 purchase order for a single Main Line System and related services from a leading Latin American mining company, which was delivered to the customer during December 2023. The customer is expected to start a long-term pilot soon after completing the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railway detection system is currently in a pilot phase with several industry leading railway operators as we seek to move to the next stage of receiving commercial orders. We believe that our technology will significantly increase railway safety around the world, while creating significant benefits and adding value to everyone who relies on the train ecosystem: from passengers using trains for transportation to companies that use railways to deliver goods and services. In addition, we believe that our technology has the potential to advance the revolutionary concept of autonomous trains into a practical reality.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A.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operating expenses consist of two components — research and development expenses, and general and administrative expenses. To date, we have not generated significant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 net</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consist primarily of salaries and related personnel expenses (including share-based payment), subcontractor’s expenses and other related research and development expenses.</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discloses the breakdown of research and development expenses:</w:t>
      </w:r>
    </w:p>
    <w:p>
      <w:pPr>
        <w:pStyle w:val="TextBody"/>
        <w:bidi w:val="0"/>
        <w:spacing w:before="0" w:after="0"/>
        <w:ind w:left="0" w:right="0" w:hanging="0"/>
        <w:jc w:val="left"/>
        <w:rPr>
          <w:caps w:val="false"/>
          <w:smallCaps w:val="false"/>
        </w:rPr>
      </w:pPr>
      <w:r>
        <w:rPr>
          <w:caps w:val="false"/>
          <w:smallCaps w:val="false"/>
        </w:rPr>
        <w:t> </w:t>
      </w:r>
    </w:p>
    <w:tbl>
      <w:tblPr>
        <w:tblW w:w="6463" w:type="dxa"/>
        <w:jc w:val="left"/>
        <w:tblInd w:w="0" w:type="dxa"/>
        <w:tblLayout w:type="fixed"/>
        <w:tblCellMar>
          <w:top w:w="0" w:type="dxa"/>
          <w:left w:w="0" w:type="dxa"/>
          <w:bottom w:w="0" w:type="dxa"/>
          <w:right w:w="0" w:type="dxa"/>
        </w:tblCellMar>
      </w:tblPr>
      <w:tblGrid>
        <w:gridCol w:w="3380"/>
        <w:gridCol w:w="60"/>
        <w:gridCol w:w="136"/>
        <w:gridCol w:w="1278"/>
        <w:gridCol w:w="60"/>
        <w:gridCol w:w="60"/>
        <w:gridCol w:w="136"/>
        <w:gridCol w:w="1278"/>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 xml:space="preserve">Year ended </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 xml:space="preserve">Year ended </w:t>
              <w:br/>
              <w:t>December 31,</w:t>
            </w:r>
          </w:p>
        </w:tc>
        <w:tc>
          <w:tcPr>
            <w:tcW w:w="75" w:type="dxa"/>
            <w:tcBorders/>
            <w:vAlign w:val="center"/>
          </w:tcPr>
          <w:p>
            <w:pPr>
              <w:pStyle w:val="TableContents"/>
              <w:bidi w:val="0"/>
              <w:spacing w:before="0" w:after="283"/>
              <w:jc w:val="left"/>
              <w:rPr/>
            </w:pPr>
            <w:r>
              <w:rPr/>
              <w:t> </w:t>
            </w:r>
          </w:p>
        </w:tc>
      </w:tr>
      <w:tr>
        <w:trPr/>
        <w:tc>
          <w:tcPr>
            <w:tcW w:w="3380" w:type="dxa"/>
            <w:tcBorders>
              <w:bottom w:val="single" w:sz="12" w:space="0" w:color="000000"/>
            </w:tcBorders>
            <w:tcMar>
              <w:bottom w:w="28" w:type="dxa"/>
            </w:tcMar>
            <w:vAlign w:val="center"/>
          </w:tcPr>
          <w:p>
            <w:pPr>
              <w:pStyle w:val="TableContents"/>
              <w:bidi w:val="0"/>
              <w:spacing w:before="0" w:after="283"/>
              <w:jc w:val="left"/>
              <w:rPr/>
            </w:pPr>
            <w:r>
              <w:rPr/>
              <w:t>(in thousands of USD)</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130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Share-based payment</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174</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5,671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5,049</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Subcontracted work and consulting</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R&amp;D consumables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160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Rent and office maintenance</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416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355</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Travel and other expenses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347</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Total</w:t>
            </w:r>
          </w:p>
        </w:tc>
        <w:tc>
          <w:tcPr>
            <w:tcW w:w="60" w:type="dxa"/>
            <w:tcBorders/>
            <w:vAlign w:val="center"/>
          </w:tcPr>
          <w:p>
            <w:pPr>
              <w:pStyle w:val="TableContents"/>
              <w:bidi w:val="0"/>
              <w:spacing w:before="0" w:after="283"/>
              <w:jc w:val="left"/>
              <w:rPr/>
            </w:pPr>
            <w:r>
              <w:rPr/>
              <w:t> </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tcMar>
              <w:bottom w:w="28" w:type="dxa"/>
            </w:tcMar>
            <w:vAlign w:val="center"/>
          </w:tcPr>
          <w:p>
            <w:pPr>
              <w:pStyle w:val="TableContents"/>
              <w:bidi w:val="0"/>
              <w:spacing w:before="0" w:after="283"/>
              <w:jc w:val="right"/>
              <w:rPr/>
            </w:pPr>
            <w:r>
              <w:rPr/>
              <w:t>7,145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tcMar>
              <w:bottom w:w="28" w:type="dxa"/>
            </w:tcMar>
            <w:vAlign w:val="center"/>
          </w:tcPr>
          <w:p>
            <w:pPr>
              <w:pStyle w:val="TableContents"/>
              <w:bidi w:val="0"/>
              <w:spacing w:before="0" w:after="283"/>
              <w:jc w:val="right"/>
              <w:rPr/>
            </w:pPr>
            <w:r>
              <w:rPr/>
              <w:t>6,230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related expenses, share-based payment, professional service fees for accounting, legal and bookkeeping, facilities, travel expenses and other general and administrative expenses.</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discloses the breakdown of general and administrative expenses:</w:t>
      </w:r>
    </w:p>
    <w:p>
      <w:pPr>
        <w:pStyle w:val="TextBody"/>
        <w:bidi w:val="0"/>
        <w:spacing w:before="0" w:after="0"/>
        <w:ind w:left="0" w:right="0" w:firstLine="720"/>
        <w:jc w:val="left"/>
        <w:rPr>
          <w:caps w:val="false"/>
          <w:smallCaps w:val="false"/>
        </w:rPr>
      </w:pPr>
      <w:r>
        <w:rPr>
          <w:caps w:val="false"/>
          <w:smallCaps w:val="false"/>
        </w:rPr>
        <w:t> </w:t>
      </w:r>
    </w:p>
    <w:tbl>
      <w:tblPr>
        <w:tblW w:w="5818" w:type="dxa"/>
        <w:jc w:val="left"/>
        <w:tblInd w:w="0" w:type="dxa"/>
        <w:tblLayout w:type="fixed"/>
        <w:tblCellMar>
          <w:top w:w="0" w:type="dxa"/>
          <w:left w:w="0" w:type="dxa"/>
          <w:bottom w:w="0" w:type="dxa"/>
          <w:right w:w="0" w:type="dxa"/>
        </w:tblCellMar>
      </w:tblPr>
      <w:tblGrid>
        <w:gridCol w:w="2735"/>
        <w:gridCol w:w="60"/>
        <w:gridCol w:w="136"/>
        <w:gridCol w:w="1278"/>
        <w:gridCol w:w="60"/>
        <w:gridCol w:w="60"/>
        <w:gridCol w:w="136"/>
        <w:gridCol w:w="1278"/>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Year ended</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2735" w:type="dxa"/>
            <w:tcBorders>
              <w:bottom w:val="single" w:sz="12" w:space="0" w:color="000000"/>
            </w:tcBorders>
            <w:tcMar>
              <w:bottom w:w="28" w:type="dxa"/>
            </w:tcMar>
            <w:vAlign w:val="center"/>
          </w:tcPr>
          <w:p>
            <w:pPr>
              <w:pStyle w:val="TableContents"/>
              <w:bidi w:val="0"/>
              <w:spacing w:before="0" w:after="283"/>
              <w:jc w:val="left"/>
              <w:rPr/>
            </w:pPr>
            <w:r>
              <w:rPr/>
              <w:t>(in thousands of USD)</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1,845</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Share-based payment</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323</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1,451</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Travel expenses</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115</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Rent and office maintenance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118</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Depreciation</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Marketing and other</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393</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Total</w:t>
            </w:r>
          </w:p>
        </w:tc>
        <w:tc>
          <w:tcPr>
            <w:tcW w:w="60" w:type="dxa"/>
            <w:tcBorders/>
            <w:vAlign w:val="center"/>
          </w:tcPr>
          <w:p>
            <w:pPr>
              <w:pStyle w:val="TableContents"/>
              <w:bidi w:val="0"/>
              <w:spacing w:before="0" w:after="283"/>
              <w:jc w:val="left"/>
              <w:rPr/>
            </w:pPr>
            <w:r>
              <w:rPr/>
              <w:t> </w:t>
            </w:r>
          </w:p>
        </w:tc>
        <w:tc>
          <w:tcPr>
            <w:tcW w:w="13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tcMar>
              <w:bottom w:w="28" w:type="dxa"/>
            </w:tcMar>
            <w:vAlign w:val="center"/>
          </w:tcPr>
          <w:p>
            <w:pPr>
              <w:pStyle w:val="TableContents"/>
              <w:bidi w:val="0"/>
              <w:spacing w:before="0" w:after="283"/>
              <w:jc w:val="right"/>
              <w:rPr/>
            </w:pPr>
            <w:r>
              <w:rPr/>
              <w:t>4,339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tcMar>
              <w:bottom w:w="28" w:type="dxa"/>
            </w:tcMar>
            <w:vAlign w:val="center"/>
          </w:tcPr>
          <w:p>
            <w:pPr>
              <w:pStyle w:val="TableContents"/>
              <w:bidi w:val="0"/>
              <w:spacing w:before="0" w:after="283"/>
              <w:jc w:val="right"/>
              <w:rPr/>
            </w:pPr>
            <w:r>
              <w:rPr/>
              <w:t>4,265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Year Ended December 31, 2023, to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tbl>
      <w:tblPr>
        <w:tblW w:w="6594" w:type="dxa"/>
        <w:jc w:val="left"/>
        <w:tblInd w:w="0" w:type="dxa"/>
        <w:tblLayout w:type="fixed"/>
        <w:tblCellMar>
          <w:top w:w="0" w:type="dxa"/>
          <w:left w:w="0" w:type="dxa"/>
          <w:bottom w:w="0" w:type="dxa"/>
          <w:right w:w="0" w:type="dxa"/>
        </w:tblCellMar>
      </w:tblPr>
      <w:tblGrid>
        <w:gridCol w:w="3500"/>
        <w:gridCol w:w="60"/>
        <w:gridCol w:w="99"/>
        <w:gridCol w:w="1256"/>
        <w:gridCol w:w="95"/>
        <w:gridCol w:w="60"/>
        <w:gridCol w:w="103"/>
        <w:gridCol w:w="1311"/>
        <w:gridCol w:w="110"/>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500" w:type="dxa"/>
            <w:tcBorders>
              <w:bottom w:val="single" w:sz="12" w:space="0" w:color="000000"/>
            </w:tcBorders>
            <w:tcMar>
              <w:bottom w:w="28" w:type="dxa"/>
            </w:tcMar>
            <w:vAlign w:val="center"/>
          </w:tcPr>
          <w:p>
            <w:pPr>
              <w:pStyle w:val="TableContents"/>
              <w:bidi w:val="0"/>
              <w:spacing w:before="0" w:after="283"/>
              <w:jc w:val="left"/>
              <w:rPr/>
            </w:pPr>
            <w:r>
              <w:rPr/>
              <w:t>(in thousands of USD)</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421</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9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tcMar>
              <w:bottom w:w="28" w:type="dxa"/>
            </w:tcMar>
            <w:vAlign w:val="center"/>
          </w:tcPr>
          <w:p>
            <w:pPr>
              <w:pStyle w:val="TableContents"/>
              <w:bidi w:val="0"/>
              <w:spacing w:before="0" w:after="283"/>
              <w:jc w:val="right"/>
              <w:rPr/>
            </w:pPr>
            <w:r>
              <w:rPr/>
              <w:t>(61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3"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tcMar>
              <w:bottom w:w="28" w:type="dxa"/>
            </w:tcMar>
            <w:vAlign w:val="center"/>
          </w:tcPr>
          <w:p>
            <w:pPr>
              <w:pStyle w:val="TableContents"/>
              <w:bidi w:val="0"/>
              <w:spacing w:before="0" w:after="283"/>
              <w:jc w:val="right"/>
              <w:rPr/>
            </w:pPr>
            <w:r>
              <w:rPr/>
              <w:t>(661</w:t>
            </w:r>
          </w:p>
        </w:tc>
        <w:tc>
          <w:tcPr>
            <w:tcW w:w="110" w:type="dxa"/>
            <w:tcBorders/>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(240</w:t>
            </w:r>
          </w:p>
        </w:tc>
        <w:tc>
          <w:tcPr>
            <w:tcW w:w="110" w:type="dxa"/>
            <w:tcBorders/>
            <w:shd w:fill="CCEEFF" w:val="clear"/>
            <w:vAlign w:val="center"/>
          </w:tcPr>
          <w:p>
            <w:pPr>
              <w:pStyle w:val="TableContents"/>
              <w:bidi w:val="0"/>
              <w:spacing w:before="0" w:after="283"/>
              <w:jc w:val="left"/>
              <w:rPr/>
            </w:pPr>
            <w:r>
              <w:rPr/>
              <w:t>)</w:t>
            </w:r>
          </w:p>
        </w:tc>
      </w:tr>
      <w:tr>
        <w:trPr/>
        <w:tc>
          <w:tcPr>
            <w:tcW w:w="3500" w:type="dxa"/>
            <w:tcBorders/>
            <w:vAlign w:val="center"/>
          </w:tcPr>
          <w:p>
            <w:pPr>
              <w:pStyle w:val="TableContents"/>
              <w:bidi w:val="0"/>
              <w:spacing w:before="0" w:after="283"/>
              <w:jc w:val="left"/>
              <w:rPr/>
            </w:pPr>
            <w:r>
              <w:rPr/>
              <w:t>Research and development expenses</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(7,145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(6,230</w:t>
            </w:r>
          </w:p>
        </w:tc>
        <w:tc>
          <w:tcPr>
            <w:tcW w:w="110" w:type="dxa"/>
            <w:tcBorders/>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(4,339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center"/>
          </w:tcPr>
          <w:p>
            <w:pPr>
              <w:pStyle w:val="TableContents"/>
              <w:bidi w:val="0"/>
              <w:spacing w:before="0" w:after="283"/>
              <w:jc w:val="right"/>
              <w:rPr/>
            </w:pPr>
            <w:r>
              <w:rPr/>
              <w:t>(4,265</w:t>
            </w:r>
          </w:p>
        </w:tc>
        <w:tc>
          <w:tcPr>
            <w:tcW w:w="110" w:type="dxa"/>
            <w:tcBorders/>
            <w:shd w:fill="CCEEFF" w:val="clear"/>
            <w:vAlign w:val="center"/>
          </w:tcPr>
          <w:p>
            <w:pPr>
              <w:pStyle w:val="TableContents"/>
              <w:bidi w:val="0"/>
              <w:spacing w:before="0" w:after="283"/>
              <w:jc w:val="left"/>
              <w:rPr/>
            </w:pPr>
            <w:r>
              <w:rPr/>
              <w:t>)</w:t>
            </w:r>
          </w:p>
        </w:tc>
      </w:tr>
      <w:tr>
        <w:trPr/>
        <w:tc>
          <w:tcPr>
            <w:tcW w:w="3500" w:type="dxa"/>
            <w:tcBorders/>
            <w:vAlign w:val="center"/>
          </w:tcPr>
          <w:p>
            <w:pPr>
              <w:pStyle w:val="TableContents"/>
              <w:bidi w:val="0"/>
              <w:spacing w:before="0" w:after="283"/>
              <w:jc w:val="left"/>
              <w:rPr>
                <w:b/>
              </w:rPr>
            </w:pPr>
            <w:r>
              <w:rPr>
                <w:b/>
              </w:rPr>
              <w:t>Operating loss</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(11,403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11" w:type="dxa"/>
            <w:tcBorders/>
            <w:vAlign w:val="center"/>
          </w:tcPr>
          <w:p>
            <w:pPr>
              <w:pStyle w:val="TableContents"/>
              <w:bidi w:val="0"/>
              <w:spacing w:before="0" w:after="283"/>
              <w:jc w:val="right"/>
              <w:rPr/>
            </w:pPr>
            <w:r>
              <w:rPr/>
              <w:t>(10,735</w:t>
            </w:r>
          </w:p>
        </w:tc>
        <w:tc>
          <w:tcPr>
            <w:tcW w:w="110" w:type="dxa"/>
            <w:tcBorders/>
            <w:vAlign w:val="center"/>
          </w:tcPr>
          <w:p>
            <w:pPr>
              <w:pStyle w:val="TableContents"/>
              <w:bidi w:val="0"/>
              <w:spacing w:before="0" w:after="283"/>
              <w:jc w:val="left"/>
              <w:rPr/>
            </w:pPr>
            <w:r>
              <w:rPr/>
              <w:t>)</w:t>
            </w:r>
          </w:p>
        </w:tc>
      </w:tr>
      <w:tr>
        <w:trPr/>
        <w:tc>
          <w:tcPr>
            <w:tcW w:w="3500" w:type="dxa"/>
            <w:tcBorders/>
            <w:shd w:fill="CCEEFF" w:val="clear"/>
            <w:vAlign w:val="center"/>
          </w:tcPr>
          <w:p>
            <w:pPr>
              <w:pStyle w:val="TableContents"/>
              <w:bidi w:val="0"/>
              <w:spacing w:before="0" w:after="283"/>
              <w:jc w:val="left"/>
              <w:rPr/>
            </w:pPr>
            <w:r>
              <w:rPr/>
              <w:t>Financial income, net</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12" w:space="0" w:color="000000"/>
            </w:tcBorders>
            <w:shd w:fill="CCEEFF" w:val="clear"/>
            <w:tcMar>
              <w:bottom w:w="28" w:type="dxa"/>
            </w:tcMar>
            <w:vAlign w:val="center"/>
          </w:tcPr>
          <w:p>
            <w:pPr>
              <w:pStyle w:val="TableContents"/>
              <w:bidi w:val="0"/>
              <w:spacing w:before="0" w:after="283"/>
              <w:jc w:val="right"/>
              <w:rPr/>
            </w:pPr>
            <w:r>
              <w:rPr/>
              <w:t>260</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b/>
              </w:rPr>
            </w:pPr>
            <w:r>
              <w:rPr>
                <w:b/>
              </w:rPr>
              <w:t>Net Loss</w:t>
            </w:r>
          </w:p>
        </w:tc>
        <w:tc>
          <w:tcPr>
            <w:tcW w:w="60" w:type="dxa"/>
            <w:tcBorders/>
            <w:vAlign w:val="center"/>
          </w:tcPr>
          <w:p>
            <w:pPr>
              <w:pStyle w:val="TableContents"/>
              <w:bidi w:val="0"/>
              <w:spacing w:before="0" w:after="283"/>
              <w:jc w:val="left"/>
              <w:rPr/>
            </w:pPr>
            <w:r>
              <w:rPr/>
              <w:t> </w:t>
            </w:r>
          </w:p>
        </w:tc>
        <w:tc>
          <w:tcPr>
            <w:tcW w:w="99" w:type="dxa"/>
            <w:tcBorders>
              <w:bottom w:val="double" w:sz="10" w:space="0" w:color="000000"/>
            </w:tcBorders>
            <w:tcMar>
              <w:bottom w:w="28" w:type="dxa"/>
            </w:tcMar>
            <w:vAlign w:val="center"/>
          </w:tcPr>
          <w:p>
            <w:pPr>
              <w:pStyle w:val="TableContents"/>
              <w:bidi w:val="0"/>
              <w:spacing w:before="0" w:after="283"/>
              <w:jc w:val="left"/>
              <w:rPr/>
            </w:pPr>
            <w:r>
              <w:rPr/>
              <w:t> </w:t>
            </w:r>
          </w:p>
        </w:tc>
        <w:tc>
          <w:tcPr>
            <w:tcW w:w="1256" w:type="dxa"/>
            <w:tcBorders>
              <w:bottom w:val="double" w:sz="10" w:space="0" w:color="000000"/>
            </w:tcBorders>
            <w:tcMar>
              <w:bottom w:w="28" w:type="dxa"/>
            </w:tcMar>
            <w:vAlign w:val="center"/>
          </w:tcPr>
          <w:p>
            <w:pPr>
              <w:pStyle w:val="TableContents"/>
              <w:bidi w:val="0"/>
              <w:spacing w:before="0" w:after="283"/>
              <w:jc w:val="right"/>
              <w:rPr/>
            </w:pPr>
            <w:r>
              <w:rPr/>
              <w:t>(11,148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3" w:type="dxa"/>
            <w:tcBorders>
              <w:bottom w:val="double" w:sz="10" w:space="0" w:color="000000"/>
            </w:tcBorders>
            <w:tcMar>
              <w:bottom w:w="28" w:type="dxa"/>
            </w:tcMar>
            <w:vAlign w:val="center"/>
          </w:tcPr>
          <w:p>
            <w:pPr>
              <w:pStyle w:val="TableContents"/>
              <w:bidi w:val="0"/>
              <w:spacing w:before="0" w:after="283"/>
              <w:jc w:val="left"/>
              <w:rPr/>
            </w:pPr>
            <w:r>
              <w:rPr/>
              <w:t> </w:t>
            </w:r>
          </w:p>
        </w:tc>
        <w:tc>
          <w:tcPr>
            <w:tcW w:w="1311" w:type="dxa"/>
            <w:tcBorders>
              <w:bottom w:val="double" w:sz="10" w:space="0" w:color="000000"/>
            </w:tcBorders>
            <w:tcMar>
              <w:bottom w:w="28" w:type="dxa"/>
            </w:tcMar>
            <w:vAlign w:val="center"/>
          </w:tcPr>
          <w:p>
            <w:pPr>
              <w:pStyle w:val="TableContents"/>
              <w:bidi w:val="0"/>
              <w:spacing w:before="0" w:after="283"/>
              <w:jc w:val="right"/>
              <w:rPr/>
            </w:pPr>
            <w:r>
              <w:rPr/>
              <w:t>(10,475</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for the year ended December 31, 2023, amounted to $142,000 representing a decrease of $279,000 or 66% compared to $421,000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for the year ended December 31, 2023, amounted to $7,145,000 representing an increase of $915,000 or 15% as compared to $6,230,000 for the year ended December 31, 2022. This increase was primarily attributable to the allocation of salary expenses from R&amp;D expenses to cost of sales in 2022 and an increase in R&amp;D equipment purchases in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totaled $4,339,000 for the year ended December 31, 2023, representing an increase of $74,000 or 2% compared to $4,265,000 for the year ended December 31, 2022. This increase was primarily attributable to increase in professional services related to operating as a public company offset by share-based payment expenses of grants which were fully vested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loss</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operating loss for the year ended December 31, 2023 was $11,403,000 compared an operating loss of $10,735,000 for the year ended December 31, 2022, an increase of $668,000 or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expense and income</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expense and income consist of interest on deposits, bank fees and other transactional costs and exchange rate differences.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net financial income of $255,000 for the year ended December 31, 2023, compared to net financial income of $260,000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for the year ended December 31, 2023, was $11,148,000 compared to $10,475,000 for the year ended December 31, 2022, an increase of $673,000 or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through December 31, 2023, we have funded our operations principally with approximately $68.7 (net of issuance expenses) from the issuance of ordinary shares, preferred shares, and warrants in public and private offerings. As of December 31, 2023, we had approximately $3.1 in cash and cash equivalents.</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cash flows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063" w:type="dxa"/>
        <w:jc w:val="left"/>
        <w:tblInd w:w="0" w:type="dxa"/>
        <w:tblLayout w:type="fixed"/>
        <w:tblCellMar>
          <w:top w:w="0" w:type="dxa"/>
          <w:left w:w="0" w:type="dxa"/>
          <w:bottom w:w="0" w:type="dxa"/>
          <w:right w:w="0" w:type="dxa"/>
        </w:tblCellMar>
      </w:tblPr>
      <w:tblGrid>
        <w:gridCol w:w="4910"/>
        <w:gridCol w:w="60"/>
        <w:gridCol w:w="220"/>
        <w:gridCol w:w="1194"/>
        <w:gridCol w:w="95"/>
        <w:gridCol w:w="60"/>
        <w:gridCol w:w="241"/>
        <w:gridCol w:w="1173"/>
        <w:gridCol w:w="11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910" w:type="dxa"/>
            <w:tcBorders>
              <w:bottom w:val="single" w:sz="12" w:space="0" w:color="000000"/>
            </w:tcBorders>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(in thousands of USD)</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(10,448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(9,981</w:t>
            </w:r>
          </w:p>
        </w:tc>
        <w:tc>
          <w:tcPr>
            <w:tcW w:w="110" w:type="dxa"/>
            <w:tcBorders/>
            <w:shd w:fill="CCEEFF" w:val="clear"/>
            <w:vAlign w:val="center"/>
          </w:tcPr>
          <w:p>
            <w:pPr>
              <w:pStyle w:val="TableContents"/>
              <w:bidi w:val="0"/>
              <w:spacing w:before="0" w:after="283"/>
              <w:jc w:val="left"/>
              <w:rPr/>
            </w:pPr>
            <w:r>
              <w:rPr/>
              <w:t>)</w:t>
            </w:r>
          </w:p>
        </w:tc>
      </w:tr>
      <w:tr>
        <w:trPr/>
        <w:tc>
          <w:tcPr>
            <w:tcW w:w="4910" w:type="dxa"/>
            <w:tcBorders/>
            <w:vAlign w:val="center"/>
          </w:tcPr>
          <w:p>
            <w:pPr>
              <w:pStyle w:val="TableContents"/>
              <w:bidi w:val="0"/>
              <w:spacing w:before="0" w:after="283"/>
              <w:jc w:val="left"/>
              <w:rPr/>
            </w:pPr>
            <w:r>
              <w:rPr/>
              <w:t>Investing activities</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(152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3" w:type="dxa"/>
            <w:tcBorders/>
            <w:vAlign w:val="center"/>
          </w:tcPr>
          <w:p>
            <w:pPr>
              <w:pStyle w:val="TableContents"/>
              <w:bidi w:val="0"/>
              <w:spacing w:before="0" w:after="283"/>
              <w:jc w:val="right"/>
              <w:rPr/>
            </w:pPr>
            <w:r>
              <w:rPr/>
              <w:t>(29</w:t>
            </w:r>
          </w:p>
        </w:tc>
        <w:tc>
          <w:tcPr>
            <w:tcW w:w="110" w:type="dxa"/>
            <w:tcBorders/>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5,397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16,653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Net increase (increase) in cash and cash equivalents</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(5,203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73" w:type="dxa"/>
            <w:tcBorders/>
            <w:vAlign w:val="center"/>
          </w:tcPr>
          <w:p>
            <w:pPr>
              <w:pStyle w:val="TableContents"/>
              <w:bidi w:val="0"/>
              <w:spacing w:before="0" w:after="283"/>
              <w:jc w:val="right"/>
              <w:rPr/>
            </w:pPr>
            <w:r>
              <w:rPr/>
              <w:t>6,643</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$10,448,000 during the year ended December 31, 2023, was primarily used for payment of an aggregate of approximately $7,487,000 in salaries and related personnel expenses. The remaining amount of approximately $2,962,000 was used for professional services, travel, rent and other miscellaneous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$9,981,000 during the year ended December 31, 2022, was primarily used for payment of an aggregate of approximately $6,894,000 in salaries and related personnel expenses. The remaining amount of $3,087,000 was used, for professional services, travel, rent and other miscellaneous expenses.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$152,000 during 2023 and $29,000 during 2022, primarily reflected the purchase of fixed assets in both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the year ended December 31, 2023, consisted of $5,397,000 in proceeds from the issuance of ordinary shares and warrants, net of issuance expenses, from a series of transactions we executed in May 2023 as detailed below. See “Registered Direct Offering and Concurrent Private Placement of Warrants (May 2023)” and “Private Placement of Ordinary Shares and Warrants (May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in the year ended December 31, 2022, consisted of $13,643,000 of net proceeds from our IPO in April 2022 and approximately $3,000,000 of pre-IPO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(January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2024, we entered into a binding term sheet directly with a global investment firm, or the Lead Investor, for the purchase and sale in a private placement, or the January 2024 PIPE, of units, or the Units, consisting of (i) one of our ordinary shares and/or pre-funded warrants to purchase our ordinary shares and (ii) one and a half warrants to purchase our ordinary shares to the Lead Investor and other investors, collectively, the Investors, of a minimum of $2.5 million of Units and up to a maximum of $3 million of Units. The January 2024 PIPE closed on January 31, 2024 following the execution of definitive documentation between us and the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January 2024 PIPE, the Investors purchased $3.0 million of Units consisting of (A) (i) 1,651,458 of ordinary shares and/or (ii) pre-funded warrants to purchase up to 1,394,999 ordinary shares, or the January 2024 PIPE Pre-Funded Warrants and (B) warrants to purchase up to 4,569,688 ordinary shares, or the January 2024 Warrants. The purchase price per Unit is $0.98475. The January 2024 PIPE Pre-Funded Warrants are immediately exercisable at an exercise price of $0.0001 per ordinary share, subject to certain adjustments and certain anti-dilution protection set forth therein, and will not expire until exercised in full. The January 2024 PIPE Ordinary Share Warrants are exercisable upon issuance at an exercise price of $0.98475 per ordinary share, subject to certain adjustments and certain anti-dilution protection set forth therein, and have a 5.5-year term from the issuance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January 2024 PIPE, we exercised our conversion right, or the Conversion Right, pursuant to the Facility Agreement (as defined below) to convert $500,000 of the Credit Facility (as defined below) as a portion of the January 2024 Conversion Loan Amount (as defined below). Following such conversion, we issued to the Lender (as defined below) (i) a pre-funded warrant to purchase up to 507,743 ordinary shares, or the Facility Conversion Pre-Funded Warrant and (ii) a warrant to purchase up to 761,615 ordinary shares, or the Facility Conversion Ordinary Share Warrant. The Facility Conversion Pre-Funded Warrant and the Facility Conversion Common Warrant are in substantially the same form and on substantially the same terms as the January 2024 PIPE Pre-Funded Warrant and January 2024 PIPE Ordinary Share Warrant, respectively. See “Item 7.B.—Major Shareholders and Related Party Transactions—Related Party Transactions—Pure Capital—Private Placement (January 2024)”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1,394,999 January 2024 PIPE Pre-Funded Warrants, 507,743 Facility Conversion Pre-Funded Warrant, 761,615 Facility Conversion Common Warrant and 4,269,688 January 2024 PIPE Warrants have been exercised resulting in gross proceeds of approximately $5.0 million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of Credit Facility Agreement and Issuance of Warrant (January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9, 2024, we entered into a facility agreement, or the Facility Agreement, for a $6 million credit facility, or the Credit Facility, and an additional amount up to $3 million, subject to certain conditions, or the Additional Loans, with a global investment firm, or the Lender, who was also an Investor in the January 2024 PIPE. The Credit Facility, which had an initial term of 10 months, accrued interest at a rate of 8% per annum, and the first payment of $1.5 million was drawn down upon execution of the Facility Agreement and the remaining amount was able to be drawn down in eight equal installments as of March 7, 2024. As detailed below, the Facility Agreement terminated on March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Facility Agreement, the Lender’s financing obligations terminated in the event we drew down $7.5 million or more pursuant to an alternate credit facility or closes one or more equity financing transaction in an aggregate amount of at least $5 million. As of March 1, 2024, we had received aggregate gross proceeds of more than $5 million from the purchase of Units in the January 2024 Private Placement, the exercise of warrants issued in the January 2024 Private Placement and our exercise of the Conversion Right in the amount of $500,000. As a result, the Lender’s financing obligations have terminated pursuant to the terms of the Facility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close one or more equity financing transactions in an aggregate amount of at least $5 million (including the conversion of the Credit Facility), we had the right to convert into ordinary share up to $1.5 million, including accrued interest, of a loan extended or to be extended to us by the Lender, or the January 2024 Conversion Loan Amount, in connection with and in the framework of a financing transaction of ours on the date that follows the date upon which we notified the Lender of such financing transaction, which conversion will occur upon the same terms. As of the date hereof, we had converted $500,000 of the Credit Facility as a portion of the January 2024 Conversion Loan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Facility Agreement, we issued a warrant, or the January 2024 Facility Warrant, to the Lender to purchase 2,419,354 of our ordinary shares representing an aggregate exercise amount of $7.5 million, with a per share exercise price of $3.10, subject to certain adjustments and certain anti-dilution protection, representing a 150% premium of the closing share price of our ordinary shares on January 5, 2024. The January 2024 Facility Warrant is immediately exercisable upon issuance and has a term of 5 years from the date of issuance. Following the closing of the January 2024 PIPE, the exercise price of the January 2024 Facility Warrant was adjusted to $0.408 which is the effective price per ordinary share in the January 2024 PIPE, or the January 2024 Facility Warrant Adjusted Exercise Price, and the number of ordinary shares issuable upon the exercise of the January 2024 Facility Warrant was also adjusted to a total 18,382,353, or the January 2024 Facility Warrant Adjusted Shares, such that the product of the January 2024 Facility Warrant Adjusted Exercise Price and the January 2024 Facility Warrant Adjusted Shares is equal to an aggregate exercise amount of $7.5 million. As of the date of this Annual Report, 920,000 January 2024 Facility Warrants have been exercised resulting in gross proceeds of approximately $0.375 million to the Company. See “Item 7.B.—Major Shareholders and Related Party Transactions—Related Party Transactions—Pure Capital—Execution of Credit Facility Agreement and Issuance of Warrant (January 2024)”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Cashless Exercise of Warrants (January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28, 2024, investors from our Private Placement (as defined below) from May 2023 exercised 493,424 Concurrent Warrants on a cashless basis. As a result of the cashless exercise, we issued 181,002 ordinary shares to such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Registered Direct Offering and Concurrent Private Placement of Warrants (May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2023, we entered into definitive securities purchase agreements with investors for the purchase and sale of 493,421 ordinary shares, at a purchase price of $6.08 per unit in a registered direct offering, or the Registered Direct Offering. In a concurrent private placement, or the Private Placement, we also agreed to issue to the same investors a total of warrants to purchase an aggregate of 493,424 ordinary shares, or the Concurrent Warrants, at an exercise price of $6.72 per ordinary share. The Concurrent Warrants will be exercisable upon issuance and will have a 5-year term from the initial issuance date. The transactions closed on May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of Ordinary Shares and Warrants (May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additional concurrent private placement with the Registered Direct Offering and Private Placement, or the KB Private Placement, we entered into a definitive securities purchase agreement for the purchase and sale of an aggregate of 493,421 ordinary shares and 5-year term common warrants to purchase an aggregate of 493,421 ordinary shares, or the KB Warrants, at a purchase price of $6.08 per unit, to Knorr-Bremse. The KB Warrants are exercisable at $6.72 per ordinary share. The KB Private Placement closed on June 21, 2023, following approval of such transaction by our shareholders. See “Item 7.B.—Major Shareholders and Related Party Transactions—Related Party Transactions—Knorr-Bremse”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Initial Public Offering (April 2022)</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2022, we completed our initial public offering on the Nasdaq, or the IPO, in which we issued 473,405 units. Each unit includes one ordinary share and one warrant to purchase one ordinary share at an exercise price of $33.04. The warrants are exercisable at any time up to five years after the IPO. Gross proceeds for the offering were approximately $15.6 million (including exercise of over-allotment options as described below) and net proceeds of approximately $13.6 million after deducting underwriting discounts and commissions and offering expenses. We granted Aegis Capital Corp, or Aegis, the underwriter, a 45-day over-allotment option to purchase additional ordinary shares and/or warrants to purchase additional ordinary shares up to 15% of the number of ordinary shares and warrants, respectively, sold in the IPO solely to cover over-allotments, if any. On April 4, 2022, Aegis partially exercised its over-allotment option with respect to 71,011 warrants to purchase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Outlook</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financed our operations to date primarily through proceeds from sales of our equity securities in public and private offerings, as well as a loan from a related party. We have incurred losses and generated negative cash flows from operations since inception in April 2016. Since inception, we have not generated significant revenues from the sale of products, and we do not expect to generate significant revenues from the sale of our products in the near future.</w:t>
      </w:r>
    </w:p>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our cash and cash equivalents were $3.1 million. We expect that we will require substantial additional capital to complete the development of additional features of our system according to customers’ requirements, including algorithm optimization, cognitive layer development, system minimization and optical development, as well as to commercialize our products. In addition, our operating plans may change as a result of many factors that may currently be unknown to us, and we may need to seek additional funds sooner than planned. Our future capital requirements will depend on many factors, including:</w:t>
      </w:r>
    </w:p>
    <w:p>
      <w:pPr>
        <w:pStyle w:val="TextBody"/>
        <w:bidi w:val="0"/>
        <w:spacing w:before="0" w:after="0"/>
        <w:ind w:left="0" w:right="0" w:firstLine="72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and costs of our research and development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manufacturing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filing, prosecuting, enforcing and defending patent claims and other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costs of contracting with third parties to provide marketing and distribution services for us or for building such capacities internally;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magnitude of our 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significant revenues from its activities and have incurred substantial operating losses. We expect that we will continue to generate substantial operating losses and will continue to fund our operations primarily through the utilization of our current financial resources, sales of our products, and through additional raises of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completed the January 2024 PIPE resulting in aggregate gross proceeds approximately $3.5 million, which includes approximately $0.5 million that we received upon the partial conversion of the Credit Facility. See “Item 5. Operating and Financial Review and Prospects—B. Operating Results— Financing Activities” for additional information. In addition, to date, we have received approximately $5.0 million as a result of the exercise of warrants issued in the January 2024 PIPE.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cash and cash equivalents as of the issuance date of this annual report and the future expected cash flow from sales will be sufficient for 12 months of operations. Without derogating from the foregoing estimate regarding our existing capital resources and cash flows from operations, we may decide to raise additional funds in 2024. We believe that, if required, we will be able to raise additional capital or reduce discretionary spending to provide the required liquidity beyond the next twelve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will depend on many factors, including our revenue growth, the timing and extent of investments to support such growth, the expansion of sales and marketing activities, increases in general and administrative costs and many other factors as described under “Item 3.D—Risk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contractual obligations at December 31, 2023:</w:t>
      </w:r>
    </w:p>
    <w:p>
      <w:pPr>
        <w:pStyle w:val="TextBody"/>
        <w:bidi w:val="0"/>
        <w:spacing w:before="0" w:after="0"/>
        <w:ind w:left="0" w:right="0" w:firstLine="432"/>
        <w:jc w:val="left"/>
        <w:rPr>
          <w:caps w:val="false"/>
          <w:smallCaps w:val="false"/>
        </w:rPr>
      </w:pPr>
      <w:r>
        <w:rPr>
          <w:caps w:val="false"/>
          <w:smallCaps w:val="false"/>
        </w:rPr>
        <w:t> </w:t>
      </w:r>
    </w:p>
    <w:tbl>
      <w:tblPr>
        <w:tblW w:w="6731" w:type="dxa"/>
        <w:jc w:val="left"/>
        <w:tblInd w:w="0" w:type="dxa"/>
        <w:tblLayout w:type="fixed"/>
        <w:tblCellMar>
          <w:top w:w="0" w:type="dxa"/>
          <w:left w:w="0" w:type="dxa"/>
          <w:bottom w:w="0" w:type="dxa"/>
          <w:right w:w="0" w:type="dxa"/>
        </w:tblCellMar>
      </w:tblPr>
      <w:tblGrid>
        <w:gridCol w:w="1595"/>
        <w:gridCol w:w="60"/>
        <w:gridCol w:w="150"/>
        <w:gridCol w:w="410"/>
        <w:gridCol w:w="60"/>
        <w:gridCol w:w="60"/>
        <w:gridCol w:w="267"/>
        <w:gridCol w:w="727"/>
        <w:gridCol w:w="60"/>
        <w:gridCol w:w="60"/>
        <w:gridCol w:w="250"/>
        <w:gridCol w:w="684"/>
        <w:gridCol w:w="60"/>
        <w:gridCol w:w="60"/>
        <w:gridCol w:w="555"/>
        <w:gridCol w:w="379"/>
        <w:gridCol w:w="60"/>
        <w:gridCol w:w="60"/>
        <w:gridCol w:w="654"/>
        <w:gridCol w:w="445"/>
        <w:gridCol w:w="75"/>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Less than</w:t>
              <w:b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More than</w:t>
              <w:br/>
              <w:t>5 years</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1" w:type="dxa"/>
            <w:gridSpan w:val="18"/>
            <w:tcBorders/>
            <w:vAlign w:val="center"/>
          </w:tcPr>
          <w:p>
            <w:pPr>
              <w:pStyle w:val="TableContents"/>
              <w:bidi w:val="0"/>
              <w:spacing w:before="0" w:after="283"/>
              <w:jc w:val="center"/>
              <w:rPr/>
            </w:pPr>
            <w:r>
              <w:rPr/>
              <w:t>(in thousands of U.S. dollars)</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Operating leases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w:t>
            </w:r>
          </w:p>
        </w:tc>
        <w:tc>
          <w:tcPr>
            <w:tcW w:w="684" w:type="dxa"/>
            <w:tcBorders/>
            <w:shd w:fill="CCEEFF" w:val="clear"/>
            <w:vAlign w:val="center"/>
          </w:tcPr>
          <w:p>
            <w:pPr>
              <w:pStyle w:val="TableContents"/>
              <w:bidi w:val="0"/>
              <w:spacing w:before="0" w:after="283"/>
              <w:jc w:val="right"/>
              <w:rPr/>
            </w:pPr>
            <w:r>
              <w:rPr/>
              <w:t>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5" w:type="dxa"/>
            <w:tcBorders/>
            <w:shd w:fill="CCEEFF" w:val="clear"/>
            <w:vAlign w:val="center"/>
          </w:tcPr>
          <w:p>
            <w:pPr>
              <w:pStyle w:val="TableContents"/>
              <w:bidi w:val="0"/>
              <w:spacing w:before="0" w:after="283"/>
              <w:jc w:val="left"/>
              <w:rPr/>
            </w:pPr>
            <w:r>
              <w:rPr/>
              <w:t>$</w:t>
            </w:r>
          </w:p>
        </w:tc>
        <w:tc>
          <w:tcPr>
            <w:tcW w:w="3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left"/>
              <w:rPr/>
            </w:pPr>
            <w:r>
              <w:rPr/>
              <w:t>$</w:t>
            </w:r>
          </w:p>
        </w:tc>
        <w:tc>
          <w:tcPr>
            <w:tcW w:w="44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C. Research and development, patents and licenses,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research and development programs and the amounts that we have incurred over the last two years pursuant to those programs, please see “Item 5. Operating and Financial Review and Prospects— A. Operating Results— Operating Expenses— Research and Development Expenses, net” and “Item 5. Operating and Financial Review and Prospects— A. Operating Results— Comparison of the year ended December 31, 2023 to the year ended December 31, 2022—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D. 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in “Item 5. Operating and Financial Review and Prospectus—Operating Results” and elsewhere in this Annual Report, we are not aware of any trends, uncertainties, demands, commitments or events for the period from January 1, 2023 to December 31, 2023 that are reasonably likely to have a material effect on our total revenues, income, profitability, liquidity or capital resources, or that caused the disclosed financial information to be not necessarily indicative of future operating results or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E. 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our significant accounting policies more fully in Note 2 to our financial statements for the year ended December 31, 2023. We believe that the accounting policies below are critical in order to fully understand and evaluate our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appreciation of our critical accounting policies is necessary to understand our financial results. The accounting policies outlined below are considered to be critical because they can materially affect our operating results and financial condition, as these policies may require us to make difficult and subjective judgments regarding uncertainties. The accuracy of these estimates and the likelihood of future changes depend on a range of possible outcomes and a number of underlying variables, many of which are beyond our control, and there can be no assurance that our estimates are 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critical accounting estimate affecting the financial statements is its stock-based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grant options to its employees, directors and non-employees. The Company recognizes this compensation expense at its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Company’s assumptions can materially affect the estimate of the fair value of stock-based compensation and, consequently, the related expense recognized. The assumptions used in the calculations of the fair value of stock-based payment awards is represented by best estimates which involve inherent uncertainties and the application of judgment when considering inherent uncertainties. As a result, if the Company’s assumptions change and different assumptions are used, the expense of a stock-based compensation award could be materially different in the future than what was originally planned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and directors as of March 28, 2024:</w:t>
      </w:r>
    </w:p>
    <w:p>
      <w:pPr>
        <w:pStyle w:val="TextBody"/>
        <w:bidi w:val="0"/>
        <w:spacing w:before="0" w:after="0"/>
        <w:ind w:left="0" w:right="0" w:firstLine="720"/>
        <w:jc w:val="left"/>
        <w:rPr>
          <w:caps w:val="false"/>
          <w:smallCaps w:val="false"/>
        </w:rPr>
      </w:pPr>
      <w:r>
        <w:rPr>
          <w:caps w:val="false"/>
          <w:smallCaps w:val="false"/>
        </w:rPr>
        <w:t> </w:t>
      </w:r>
    </w:p>
    <w:tbl>
      <w:tblPr>
        <w:tblW w:w="7305" w:type="dxa"/>
        <w:jc w:val="left"/>
        <w:tblInd w:w="0" w:type="dxa"/>
        <w:tblLayout w:type="fixed"/>
        <w:tblCellMar>
          <w:top w:w="0" w:type="dxa"/>
          <w:left w:w="0" w:type="dxa"/>
          <w:bottom w:w="28" w:type="dxa"/>
          <w:right w:w="0" w:type="dxa"/>
        </w:tblCellMar>
      </w:tblPr>
      <w:tblGrid>
        <w:gridCol w:w="2420"/>
        <w:gridCol w:w="60"/>
        <w:gridCol w:w="425"/>
        <w:gridCol w:w="60"/>
        <w:gridCol w:w="4340"/>
      </w:tblGrid>
      <w:tr>
        <w:trPr/>
        <w:tc>
          <w:tcPr>
            <w:tcW w:w="242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12"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4340" w:type="dxa"/>
            <w:tcBorders>
              <w:bottom w:val="single" w:sz="12" w:space="0" w:color="000000"/>
            </w:tcBorders>
            <w:vAlign w:val="center"/>
          </w:tcPr>
          <w:p>
            <w:pPr>
              <w:pStyle w:val="TableContents"/>
              <w:bidi w:val="0"/>
              <w:spacing w:before="0" w:after="283"/>
              <w:jc w:val="left"/>
              <w:rPr>
                <w:b/>
              </w:rPr>
            </w:pPr>
            <w:r>
              <w:rPr>
                <w:b/>
              </w:rPr>
              <w:t>Position</w:t>
            </w:r>
          </w:p>
        </w:tc>
      </w:tr>
      <w:tr>
        <w:trPr/>
        <w:tc>
          <w:tcPr>
            <w:tcW w:w="2420" w:type="dxa"/>
            <w:tcBorders/>
            <w:tcMar>
              <w:bottom w:w="0" w:type="dxa"/>
            </w:tcMar>
            <w:vAlign w:val="center"/>
          </w:tcPr>
          <w:p>
            <w:pPr>
              <w:pStyle w:val="TableContents"/>
              <w:bidi w:val="0"/>
              <w:spacing w:before="0" w:after="283"/>
              <w:jc w:val="left"/>
              <w:rPr>
                <w:i/>
              </w:rPr>
            </w:pPr>
            <w:r>
              <w:rPr>
                <w:i/>
              </w:rPr>
              <w:t>Executive Officers</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340" w:type="dxa"/>
            <w:tcBorders/>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pPr>
            <w:r>
              <w:rPr/>
              <w:t>Shahar Hania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0" w:type="dxa"/>
            <w:tcBorders/>
            <w:shd w:fill="CCEEFF" w:val="clear"/>
            <w:tcMar>
              <w:bottom w:w="0" w:type="dxa"/>
            </w:tcMar>
            <w:vAlign w:val="center"/>
          </w:tcPr>
          <w:p>
            <w:pPr>
              <w:pStyle w:val="TableContents"/>
              <w:bidi w:val="0"/>
              <w:spacing w:before="0" w:after="283"/>
              <w:jc w:val="left"/>
              <w:rPr/>
            </w:pPr>
            <w:r>
              <w:rPr/>
              <w:t>Chief Executive Officer</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340" w:type="dxa"/>
            <w:tcBorders/>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pPr>
            <w:r>
              <w:rPr/>
              <w:t>Ofer Naveh</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0" w:type="dxa"/>
            <w:tcBorders/>
            <w:shd w:fill="CCEEFF" w:val="clear"/>
            <w:tcMar>
              <w:bottom w:w="0" w:type="dxa"/>
            </w:tcMar>
            <w:vAlign w:val="center"/>
          </w:tcPr>
          <w:p>
            <w:pPr>
              <w:pStyle w:val="TableContents"/>
              <w:bidi w:val="0"/>
              <w:spacing w:before="0" w:after="283"/>
              <w:jc w:val="left"/>
              <w:rPr/>
            </w:pPr>
            <w:r>
              <w:rPr/>
              <w:t>Chief Financial Officer</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340" w:type="dxa"/>
            <w:tcBorders/>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pPr>
            <w:r>
              <w:rPr/>
              <w:t>Zachi Bar-Yehoshua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0" w:type="dxa"/>
            <w:tcBorders/>
            <w:shd w:fill="CCEEFF" w:val="clear"/>
            <w:tcMar>
              <w:bottom w:w="0" w:type="dxa"/>
            </w:tcMar>
            <w:vAlign w:val="center"/>
          </w:tcPr>
          <w:p>
            <w:pPr>
              <w:pStyle w:val="TableContents"/>
              <w:bidi w:val="0"/>
              <w:spacing w:before="0" w:after="283"/>
              <w:jc w:val="left"/>
              <w:rPr/>
            </w:pPr>
            <w:r>
              <w:rPr/>
              <w:t>Chief Operating Officer</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340" w:type="dxa"/>
            <w:tcBorders/>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pPr>
            <w:r>
              <w:rPr/>
              <w:t>Ofer Grisaro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0" w:type="dxa"/>
            <w:tcBorders/>
            <w:shd w:fill="CCEEFF" w:val="clear"/>
            <w:tcMar>
              <w:bottom w:w="0" w:type="dxa"/>
            </w:tcMar>
            <w:vAlign w:val="center"/>
          </w:tcPr>
          <w:p>
            <w:pPr>
              <w:pStyle w:val="TableContents"/>
              <w:bidi w:val="0"/>
              <w:spacing w:before="0" w:after="283"/>
              <w:jc w:val="left"/>
              <w:rPr/>
            </w:pPr>
            <w:r>
              <w:rPr/>
              <w:t>Vice President of Marketing and Sales</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340" w:type="dxa"/>
            <w:tcBorders/>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pPr>
            <w:r>
              <w:rPr/>
              <w:t>Amit Klir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0" w:type="dxa"/>
            <w:tcBorders/>
            <w:shd w:fill="CCEEFF" w:val="clear"/>
            <w:tcMar>
              <w:bottom w:w="0" w:type="dxa"/>
            </w:tcMar>
            <w:vAlign w:val="center"/>
          </w:tcPr>
          <w:p>
            <w:pPr>
              <w:pStyle w:val="TableContents"/>
              <w:bidi w:val="0"/>
              <w:spacing w:before="0" w:after="283"/>
              <w:jc w:val="left"/>
              <w:rPr/>
            </w:pPr>
            <w:r>
              <w:rPr/>
              <w:t>Vice President of Research and Development</w:t>
            </w:r>
          </w:p>
        </w:tc>
      </w:tr>
      <w:tr>
        <w:trPr/>
        <w:tc>
          <w:tcPr>
            <w:tcW w:w="24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340" w:type="dxa"/>
            <w:tcBorders/>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i/>
              </w:rPr>
            </w:pPr>
            <w:r>
              <w:rPr>
                <w:i/>
              </w:rPr>
              <w:t>Non-Employee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4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tcMar>
              <w:bottom w:w="0" w:type="dxa"/>
            </w:tcMar>
            <w:vAlign w:val="center"/>
          </w:tcPr>
          <w:p>
            <w:pPr>
              <w:pStyle w:val="TableContents"/>
              <w:bidi w:val="0"/>
              <w:spacing w:before="0" w:after="283"/>
              <w:jc w:val="left"/>
              <w:rPr/>
            </w:pPr>
            <w:r>
              <w:rPr/>
              <w:t>Eli Yoresh</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center"/>
              <w:rPr/>
            </w:pPr>
            <w:r>
              <w:rPr/>
              <w:t>53</w:t>
            </w:r>
          </w:p>
        </w:tc>
        <w:tc>
          <w:tcPr>
            <w:tcW w:w="60" w:type="dxa"/>
            <w:tcBorders/>
            <w:tcMar>
              <w:bottom w:w="0" w:type="dxa"/>
            </w:tcMar>
            <w:vAlign w:val="center"/>
          </w:tcPr>
          <w:p>
            <w:pPr>
              <w:pStyle w:val="TableContents"/>
              <w:bidi w:val="0"/>
              <w:spacing w:before="0" w:after="283"/>
              <w:jc w:val="left"/>
              <w:rPr/>
            </w:pPr>
            <w:r>
              <w:rPr/>
              <w:t> </w:t>
            </w:r>
          </w:p>
        </w:tc>
        <w:tc>
          <w:tcPr>
            <w:tcW w:w="4340" w:type="dxa"/>
            <w:tcBorders/>
            <w:tcMar>
              <w:bottom w:w="0" w:type="dxa"/>
            </w:tcMar>
            <w:vAlign w:val="center"/>
          </w:tcPr>
          <w:p>
            <w:pPr>
              <w:pStyle w:val="TableContents"/>
              <w:bidi w:val="0"/>
              <w:spacing w:before="0" w:after="283"/>
              <w:jc w:val="left"/>
              <w:rPr/>
            </w:pPr>
            <w:r>
              <w:rPr/>
              <w:t>Chairman of the Board of Directors</w:t>
            </w:r>
          </w:p>
        </w:tc>
      </w:tr>
      <w:tr>
        <w:trPr/>
        <w:tc>
          <w:tcPr>
            <w:tcW w:w="24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Cleobury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Ariel Dor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Hila Kiron-Revach (1)(2)(3)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Yossi Daskal (1)(2)(3)(4)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42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Oz Adler (1)(2)(3)(4)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60"/>
        <w:gridCol w:w="263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60"/>
        <w:gridCol w:w="335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260"/>
        <w:gridCol w:w="615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 (as defined under Nasdaq Stock Market Listing Rules)</w:t>
            </w:r>
          </w:p>
        </w:tc>
      </w:tr>
    </w:tbl>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260"/>
        <w:gridCol w:w="455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director (as defined under the Companies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Shahar Hania, Chief Executive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Shahar Hania</w:t>
      </w:r>
      <w:r>
        <w:rPr>
          <w:rFonts w:ascii="Times New Roman;Times;Serif" w:hAnsi="Times New Roman;Times;Serif"/>
          <w:b w:val="false"/>
          <w:i w:val="false"/>
          <w:caps w:val="false"/>
          <w:smallCaps w:val="false"/>
          <w:sz w:val="20"/>
        </w:rPr>
        <w:t xml:space="preserve"> has served as our Chief Executive Officer since November 2020. Previously, Mr. Hania served as a member of our board of directors from November 2020 to March 2022, and as our Vice President of Research and Development from April 2016 to March 2021. Mr. Hania is an electro-optics expert with vast experience (since 1994) in the fields of combined electro-optics systems, detection, infrared systems and lasers. Mr. Hania held senior system engineering positions in Bird Aerosystems Ltd. From April 2012 to May 2016, and Elbit Systems Electro-Optics ELOP Ltd. From 2000 to 2012. Mr. Hania holds a B.Sc. in Physics and Electro-optics engineering from the Jerusalem College of Technology, Israel and a M.Sc. in electro-optics engineering from Ben-Gurion University,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Naveh,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Ofer Naveh </w:t>
      </w:r>
      <w:r>
        <w:rPr>
          <w:rFonts w:ascii="Times New Roman;Times;Serif" w:hAnsi="Times New Roman;Times;Serif"/>
          <w:b w:val="false"/>
          <w:i w:val="false"/>
          <w:caps w:val="false"/>
          <w:smallCaps w:val="false"/>
          <w:sz w:val="20"/>
        </w:rPr>
        <w:t>has served as our Chief Financial Officer since June 2017. Mr. Naveh brings more than 15 years of experience in accounting and financial management, at KPMG’s audit practice from December 1999 to November 2005, and in numerous financial and accounting roles at public companies traded in Israel and the United States. Mr. Naveh served as chief financial officer of Accel Solutions Group Ltd (formerly: Dolomite Holdings Ltd.), a public company organized under the laws of the State of Israel and listed on the Tel Aviv Stock Exchange, or the TASE, from 2010 through June 2017. Since March 2021, Mr. Naveh has served as an external director of Upsellon Brands Holdings Ltd (TASE: UPSL). Mr. Naveh holds a B.A. in Accounting and Business from the College of Management Academic Studies, Israel and a M.A. in Law from Bar-Ilan University, Israel. Mr. Naveh is a Certified Public Accountant in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Zachi Bar-Yehoshua, Chief Operating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Zachi Bar-Yehoshua </w:t>
      </w:r>
      <w:r>
        <w:rPr>
          <w:rFonts w:ascii="Times New Roman;Times;Serif" w:hAnsi="Times New Roman;Times;Serif"/>
          <w:b w:val="false"/>
          <w:i w:val="false"/>
          <w:caps w:val="false"/>
          <w:smallCaps w:val="false"/>
          <w:sz w:val="20"/>
        </w:rPr>
        <w:t>has served as our Vice president of Operations since June 2017. Mr. Bar-Yehoshua has combined managerial experience of more than 20 years, both in the high-tech sector and traditional industries in several service and operation roles. Mr. Bar-Yehoshua served as operation and customer manager at Zoko Enterprises Ltd., an infrastructure and transportation company, from June 2015 through June 2017 and as vice president of technologies services at Team-Netcom Ltd. (Malam Group), a hardware development company, from March 2011 through May 2015. Mr. Bar-Yehoshua holds a B.A. in Management and M.B.A in Business Administration from the Open University of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Grisaro, Vice President of Marketing and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Ofer Grisaro</w:t>
      </w:r>
      <w:r>
        <w:rPr>
          <w:rFonts w:ascii="Times New Roman;Times;Serif" w:hAnsi="Times New Roman;Times;Serif"/>
          <w:b w:val="false"/>
          <w:i w:val="false"/>
          <w:caps w:val="false"/>
          <w:smallCaps w:val="false"/>
          <w:sz w:val="20"/>
        </w:rPr>
        <w:t xml:space="preserve"> has served as our Vice President of Marketing and Sales since February 1, 2021. Mr. Grisaro has more than 15 years of experience in sales, marketing and business development. Prior to joining us, between February 2019 and January 2021, Mr. Grisaro worked as a regional sales manager of NSO Technologies Ltd., a Cyber intelligence company. Prior to that, Mr. Grisaro worked as a sales director at D.S.I.T. Solutions Ltd., an underwater surveillance company, between March 2017 and February 2019. Mr. Grisaro holds B.A. degree in Management and an M.B.A. in International Marketing Pricing, both from the Ben Gurion University,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Amit Klir, Vice President of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Mr. Amit Klir </w:t>
      </w:r>
      <w:r>
        <w:rPr>
          <w:rFonts w:ascii="Times New Roman;Times;Serif" w:hAnsi="Times New Roman;Times;Serif"/>
          <w:b w:val="false"/>
          <w:i w:val="false"/>
          <w:caps w:val="false"/>
          <w:smallCaps w:val="false"/>
          <w:sz w:val="20"/>
        </w:rPr>
        <w:t>has served as our Vice President of Technology, Research and Development since March 2021. Mr. Klir has more than 25 years of experience in development and leadership of video and audio applications. Prior to joining us, Mr. Klir worked as the Head of Engineering at Continuse Biometrics Ltd., an innovative medical company, between May 2015 and March 2021. Mr. Klir holds a B.Sc. degree in Electric Engineering and Computers from the Ben Gurion University,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 Yoresh,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Eli Yoresh</w:t>
      </w:r>
      <w:r>
        <w:rPr>
          <w:rFonts w:ascii="Times New Roman;Times;Serif" w:hAnsi="Times New Roman;Times;Serif"/>
          <w:b w:val="false"/>
          <w:i w:val="false"/>
          <w:caps w:val="false"/>
          <w:smallCaps w:val="false"/>
          <w:sz w:val="20"/>
        </w:rPr>
        <w:t xml:space="preserve"> has served on our board of directors since August 2017 and was appointed as the Chairman in January 2024. Mr. Yoresh is a seasoned executive with over 15 years of executive and financial management experience, mainly with companies in the financial, technology and industrial sectors. Mr. Yoresh has served as chief financial officer since March 2010, and as a director since October 2010, at Foresight Autonomous Holdings Ltd. (Nasdaq and TASE: FRSX), one of our shareholders. Mr. Yoresh served as the chief executive officer of Tomcar Global Holdings Ltd., a global manufacturer of off-road vehicles, from 2005 to 2008. In addition, since March 2014, Mr. Yoresh has served as a director at Nano Dimension Ltd. (Nasdaq and TASE: NNDM). Mr. Yoresh’s previous directorships include Greenstone Industries Ltd. (TASE: GRTN) from January 2013 to June 2015, as the chairman of both Zmicha Investment House Ltd. (TASE: TZMI-M) from February 2013 to July 2015 and Gefen Biomed Investments Ltd. (TASE: GEFEN) from April 2013 to July 2015. Mr. Yoresh holds a B.A. in Business Administration from the College of Management, Israel and an M.A. in Law from Bar-Ilan University, Israel. Mr. Yoresh is a Certified Public Accountant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Cleobury,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Mark Cleobury</w:t>
      </w:r>
      <w:r>
        <w:rPr>
          <w:rFonts w:ascii="Times New Roman;Times;Serif" w:hAnsi="Times New Roman;Times;Serif"/>
          <w:b w:val="false"/>
          <w:i w:val="false"/>
          <w:caps w:val="false"/>
          <w:smallCaps w:val="false"/>
          <w:sz w:val="20"/>
        </w:rPr>
        <w:t xml:space="preserve"> has served on our board of directors since December 1, 2022 and served as the Chairman from January 2023 to January 2024. Mr Cleobury currently serves as Senior Vice President of Knorr-Bremse’s Rail Systems Division, since April 2022. Prior to this role, Mr. Cleobury held positions of increasing responsibility at Knorr-Bremse, including between July 2016 and April 2022, Mr. Cleobury served as a Member of the Management Board of Knorr-Bremse Systems for Rail. Prior to that, between April 2011 and June 2016, Mr. Cleobury served as Vice President Sales and Systems for Client Management Trains. Prior to that, between January 2007 and April 2011, he served as Manager Sales &amp; Systems Trains.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his twenty years of tenure at Knorr-Bremse, in addition to his executive roles, Mr. Cleobury held several global directorship roles within the Knorr-Bremse group, including serving as Vice President for the Knorr-Bremse Company in the U.S., a Director of Knorr-Bremse Investment (UK) Ltd in the UK, Chairman of Knorr-Bremse Nordic Rail Services in Sweden, a Director of Knorr-Bremse Rail Systems (UK) Ltd in the UK, a Member of the Board of Knorr-Bremse Rail Systems Italia S.r.L in Italy, a Member of the Supervisory Board of Knorr-Bremse systemy Kolejowe Polska Sp. Zoo in Poland, a Director of Knorr-Bremse Systemes Ferroviares France SA in France, Consiglio D’Amministrazione at Microelettrica Scientifica s.p.a in Italy, a Director of Knorr-Bremse Systems for Railways in Russia, and a Director of Knorr-Bremse 1520 in Russia.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Ariel Dor,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Ariel Dor</w:t>
      </w:r>
      <w:r>
        <w:rPr>
          <w:rFonts w:ascii="Times New Roman;Times;Serif" w:hAnsi="Times New Roman;Times;Serif"/>
          <w:b w:val="false"/>
          <w:i w:val="false"/>
          <w:caps w:val="false"/>
          <w:smallCaps w:val="false"/>
          <w:sz w:val="20"/>
        </w:rPr>
        <w:t xml:space="preserve"> is a seasoned entrepreneur and leader in the fields of engineering and business. From 2011 to 2013, Mr. Dor served as the Team Leader of the Aerospace division at Elbit Systems. From 2014 to 2015, he served as Business Unit Director at Galooli Fleet &amp; Energy, a subsidiary of the Galooli Group that specializes in IoT solutions for vehicles. Transitioning to the autonomous vehicle industry, Mr. Dor served as the Co-CEO of Foresight Autonomous Holdings from 2016 to 2019. In 2019, Mr. Dor founded Upsellon Brands Holdings and has served as its CEO since that time. Upsellon Brands is an innovative e-commerce dedicated to revolutionizing the landscape of Amazon FBA aggregation. Mr. Dor holds a B.Sc. in Electrical Engineering from the Tel Aviv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Hila Kiron-Revach,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Hila Kiron-Revach</w:t>
      </w:r>
      <w:r>
        <w:rPr>
          <w:rFonts w:ascii="Times New Roman;Times;Serif" w:hAnsi="Times New Roman;Times;Serif"/>
          <w:b w:val="false"/>
          <w:i w:val="false"/>
          <w:caps w:val="false"/>
          <w:smallCaps w:val="false"/>
          <w:sz w:val="20"/>
        </w:rPr>
        <w:t xml:space="preserve"> has served on our board of directors since January 2024. Ms. Kiron-Revach has served as a member of the board of directors of Geffen Biomed Ltd. since 2014 and has been a member of the board of directors of Zmiha Investment House Ltd. since 2021. In 2021, Ms. Kiron-Revach served as a professional advisor to the chairman of the board of directors and acting secretary of Eilat Ashkelon Pipeline Company. From 2015 until 2021, Ms. Kiron-Revach served as a senior professional advisor to ministers in the Israeli government, including the minister of foreign affairs and minister of transportation. From 2012 until 2015, Ms. Kiron-Revach served as CEO of Hamil 38 – the Israeli Center for National Master Plan to Strengthen Existing Building in the Face of Earthquakes, Tama 38 Ltd. and as an attorney at Tabakman &amp; Co. Law Firm. In 2007, Ms. Kiron-Revach founded Eliya – AB and served as its chief executive officer until 2010. Ms. Kiron-Revach hold an LL.B. from the Netanya Academic College and is a licensed attorney in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Yossi Daskal,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Daskal</w:t>
      </w:r>
      <w:r>
        <w:rPr>
          <w:rFonts w:ascii="Times New Roman;Times;Serif" w:hAnsi="Times New Roman;Times;Serif"/>
          <w:b w:val="false"/>
          <w:i w:val="false"/>
          <w:caps w:val="false"/>
          <w:smallCaps w:val="false"/>
          <w:sz w:val="20"/>
        </w:rPr>
        <w:t xml:space="preserve"> has served on our board of directors since March 2022. Mr. Daskal serves as the President of Israel-Canada Chamber of Commerce since 2013. From 2003 to 2019, Mr. Daskal established Bombardier Israel, working as Chief Country Representative, Project Manager, Financing&amp; Head of Sales. Prior to that, Mr. Daskal was the General Manager of Chemitron Technologies from 1999 to 2003. Since 2021, he is the chairman of the board of directors and the director of the finance committee of the Tel Aviv Museum of Art. Mr. Daskal has a Bachelors of Arts in Mediterranean and Arabic History Science and a Masters of Arts in Political Science, and is completing a PhD in Decision-Making from Haifa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Oz Adler,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Adler</w:t>
      </w:r>
      <w:r>
        <w:rPr>
          <w:rFonts w:ascii="Times New Roman;Times;Serif" w:hAnsi="Times New Roman;Times;Serif"/>
          <w:b w:val="false"/>
          <w:i w:val="false"/>
          <w:caps w:val="false"/>
          <w:smallCaps w:val="false"/>
          <w:sz w:val="20"/>
        </w:rPr>
        <w:t>, CPA, has served on our board of directors since June 2022. Mr. Adler currently serves as the chief executive officer and chief financial officer of SciSparc Ltd. Mr. Adler has served as SciSparc’s chief financial officer since April 2018 and as its chief executive officer since January 2022. Prior to that, from September 2017 until March 2018, he served as the VP Finance of SciSparc. From December 2020 to April 2021, Mr. Adler served as the chief financial officer of Medigus Ltd. Mr. Adler also worked in the audit department of Kost Forer Gabbay &amp; Kasierer, a member of Ernst &amp; Young Global between December 2012 and August 2017. Additionally, Mr. Adler currently serves on the board of directors of numerous private and publicly traded companies, including Elbit Imaging Ltd. (TASE: EMITF), Clearmind Medicine Inc. (CSE: CMND) (OTC: CMNDF) (FSE:CWY), Jeffs’ Brands Ltd., Polyrizon Ltd. and Charging Robotics Ltd. Mr. Adler is a certified public accountant in Israel and holds a B.A. degree in Accounting and Business Management from The College of Management,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family relationships between any members of our executive management and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Arrangements for Election of Directors and Members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articles of association, shareholders are entitled to appoint a director to our board of directors for each 10% of our outstanding share capital that they own and in such case the appointment will be for an undefined period. As of the date of this Annual Report, none of our shareholders hold 10% or more of our outstanding share capital in order to have such appointment right. Pursuant to the Facility Agreement, Pure Capital nominated Mr. Amitay Weiss and Ms. Hila Kiron-Revach who were appointed by our board of directors. On March 12, 2024, Mr. Weiss resigned from our board of directors, and, following nomination by Pure Capital, our board of directors appointed Mr. Ariel Dor to our board of directors to serve until our next annual general meeting of shareholders. Additional board members are elected at our shareholder’s annual meetings and in such case they shall serve on the board of directors until the next annual general meeting (except for external directors which will serve for up to three terms, each term of three years’ period). In addition, our amended and restated articles allow our board of directors to appoint directors to fill vacancies and/or as an addition to the board of directors (subject to the maximum number of directors) to serve until the next annual general meeting. All of the elected directors, other than external directors, may be re-elected for an unlimited number of terms upon completion of their then-current term of office. There are no other arrangements or understandings with major shareholders, customers, suppliers or others pursuant to which any of our executive management or our directors were selected. See “Item 7.B.—Major Shareholders and Related Party Transactions—Related Party Transactions”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B.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 the aggregate all compensation we paid to all of our directors and senior management as a group for the year ended December 31, 2023. The table does not include any amounts we paid to reimburse any of such persons for costs incurred in providing us with services during this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reported in the table below reflect the cost to us in thousands of U.S. dollars, for the year ended December 31, 2023. Amounts paid in NIS are translated into U.S. dollars at the rate of NIS 3.69 = $1.00, based on the average representative rate of exchange between the NIS and the U.S. dollar as reported by the Bank of Israel in the year ended December 31,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1"/>
        <w:gridCol w:w="60"/>
        <w:gridCol w:w="140"/>
        <w:gridCol w:w="984"/>
        <w:gridCol w:w="60"/>
        <w:gridCol w:w="60"/>
        <w:gridCol w:w="124"/>
        <w:gridCol w:w="1066"/>
        <w:gridCol w:w="60"/>
        <w:gridCol w:w="60"/>
        <w:gridCol w:w="273"/>
        <w:gridCol w:w="1569"/>
        <w:gridCol w:w="78"/>
      </w:tblGrid>
      <w:tr>
        <w:trPr/>
        <w:tc>
          <w:tcPr>
            <w:tcW w:w="56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Salary and</w:t>
              <w:br/>
              <w:t>Related</w:t>
              <w:br/>
              <w:t>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Pension, </w:t>
              <w:br/>
              <w:t xml:space="preserve">Retirement </w:t>
              <w:br/>
              <w:t xml:space="preserve">and Other </w:t>
              <w:br/>
              <w:t xml:space="preserve">Similar </w:t>
              <w:br/>
              <w:t>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Share </w:t>
              <w:br/>
              <w:t>Based Compensation</w:t>
            </w:r>
          </w:p>
        </w:tc>
        <w:tc>
          <w:tcPr>
            <w:tcW w:w="78" w:type="dxa"/>
            <w:tcBorders/>
            <w:vAlign w:val="center"/>
          </w:tcPr>
          <w:p>
            <w:pPr>
              <w:pStyle w:val="TableContents"/>
              <w:bidi w:val="0"/>
              <w:spacing w:before="0" w:after="283"/>
              <w:ind w:left="0" w:right="0" w:hanging="180"/>
              <w:jc w:val="left"/>
              <w:rPr/>
            </w:pPr>
            <w:r>
              <w:rPr/>
              <w:t> </w:t>
            </w:r>
          </w:p>
        </w:tc>
      </w:tr>
      <w:tr>
        <w:trPr/>
        <w:tc>
          <w:tcPr>
            <w:tcW w:w="5671" w:type="dxa"/>
            <w:tcBorders/>
            <w:shd w:fill="CCEEFF" w:val="clear"/>
            <w:vAlign w:val="center"/>
          </w:tcPr>
          <w:p>
            <w:pPr>
              <w:pStyle w:val="TableContents"/>
              <w:bidi w:val="0"/>
              <w:spacing w:before="0" w:after="283"/>
              <w:jc w:val="left"/>
              <w:rPr/>
            </w:pPr>
            <w:r>
              <w:rPr/>
              <w:t>All directors and senior management as a group, consisting of 12* persons (as of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1,273,362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1569" w:type="dxa"/>
            <w:tcBorders/>
            <w:shd w:fill="CCEEFF" w:val="clear"/>
            <w:vAlign w:val="center"/>
          </w:tcPr>
          <w:p>
            <w:pPr>
              <w:pStyle w:val="TableContents"/>
              <w:bidi w:val="0"/>
              <w:spacing w:before="0" w:after="283"/>
              <w:jc w:val="right"/>
              <w:rPr/>
            </w:pPr>
            <w:r>
              <w:rPr/>
              <w:t>162,557</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9, 2024, we announced that each of Mr. Shmuel Donnerstein, Ms. Inbal Kreiss and Ms. Keren Aslan tendered their resignations from the our board of directors, and the board of directors had appointed Mr. Amitay Weiss and Ms. Hila Kiron-Revach to the board of directors, to serve until the Company’s next annual general meeting of shareholders. On March 12, 2024, Mr. Weiss resigned from our board of directors and that Mr. Ariel Dor was appointed to our board of directors. Mr. Donnerstein, Ms. Kreiss and Ms. Aslan served on our board of directors as of December 31, 2023. On March 25, 2024, Mr. Maximilian Eichhorn’s term as a member of our board of directors expired pursuant to our amended and restated articles of association, and on March 28, 2024, Mr. Eichhorn was appointed to continue as an observer of the board of directors. As a result, compensation paid to Mr. Donnerstein, Ms. Kreiss, Ms. Aslan and Mr. Eichhorn as of December 31, 2023 is included in the above table, but does not include any compensation paid to Mr. Weiss (for his service from January 2024 to March 2024), Ms. Kiron-Revach or Mr. Dor who joined our board of directors after such date.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options to purchase 47,488 ordinary shares granted to our directors and executive officers were outstanding under our Option Plan at a weighted average exercise price of $14.8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Companies Law, we are required to disclose the compensation granted to our five most highly compensated officers. The table below reflects the compensation granted during or with respect to the year ended December 31, 2023.</w:t>
      </w:r>
    </w:p>
    <w:p>
      <w:pPr>
        <w:pStyle w:val="TextBody"/>
        <w:bidi w:val="0"/>
        <w:spacing w:before="0" w:after="0"/>
        <w:ind w:left="0" w:right="0" w:firstLine="720"/>
        <w:jc w:val="both"/>
        <w:rPr>
          <w:caps w:val="false"/>
          <w:smallCaps w:val="false"/>
        </w:rPr>
      </w:pPr>
      <w:r>
        <w:rPr>
          <w:caps w:val="false"/>
          <w:smallCaps w:val="false"/>
        </w:rPr>
        <w:t> </w:t>
      </w:r>
    </w:p>
    <w:tbl>
      <w:tblPr>
        <w:tblW w:w="9460" w:type="dxa"/>
        <w:jc w:val="left"/>
        <w:tblInd w:w="0" w:type="dxa"/>
        <w:tblLayout w:type="fixed"/>
        <w:tblCellMar>
          <w:top w:w="0" w:type="dxa"/>
          <w:left w:w="0" w:type="dxa"/>
          <w:bottom w:w="28" w:type="dxa"/>
          <w:right w:w="0" w:type="dxa"/>
        </w:tblCellMar>
      </w:tblPr>
      <w:tblGrid>
        <w:gridCol w:w="5555"/>
        <w:gridCol w:w="60"/>
        <w:gridCol w:w="198"/>
        <w:gridCol w:w="1052"/>
        <w:gridCol w:w="290"/>
        <w:gridCol w:w="60"/>
        <w:gridCol w:w="237"/>
        <w:gridCol w:w="1253"/>
        <w:gridCol w:w="60"/>
        <w:gridCol w:w="60"/>
        <w:gridCol w:w="150"/>
        <w:gridCol w:w="410"/>
        <w:gridCol w:w="75"/>
      </w:tblGrid>
      <w:tr>
        <w:trPr/>
        <w:tc>
          <w:tcPr>
            <w:tcW w:w="5555" w:type="dxa"/>
            <w:tcBorders>
              <w:bottom w:val="single" w:sz="12" w:space="0" w:color="000000"/>
            </w:tcBorders>
            <w:vAlign w:val="center"/>
          </w:tcPr>
          <w:p>
            <w:pPr>
              <w:pStyle w:val="TableContents"/>
              <w:bidi w:val="0"/>
              <w:spacing w:before="0" w:after="283"/>
              <w:ind w:left="0" w:right="0" w:hanging="180"/>
              <w:jc w:val="left"/>
              <w:rPr>
                <w:b/>
              </w:rPr>
            </w:pPr>
            <w:r>
              <w:rPr>
                <w:b/>
              </w:rPr>
              <w:t>Executive Officer - Name and Principal Position (1) (2)</w:t>
              <w:br/>
              <w:t>(in thousands, US dollars)</w:t>
            </w:r>
          </w:p>
        </w:tc>
        <w:tc>
          <w:tcPr>
            <w:tcW w:w="6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12" w:space="0" w:color="000000"/>
            </w:tcBorders>
            <w:vAlign w:val="center"/>
          </w:tcPr>
          <w:p>
            <w:pPr>
              <w:pStyle w:val="TableContents"/>
              <w:bidi w:val="0"/>
              <w:spacing w:before="0" w:after="283"/>
              <w:jc w:val="center"/>
              <w:rPr>
                <w:b/>
              </w:rPr>
            </w:pPr>
            <w:r>
              <w:rPr>
                <w:b/>
              </w:rPr>
              <w:t>Salary</w:t>
              <w:br/>
              <w:t>and Related</w:t>
              <w:br/>
              <w:t>Benefits</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Share Based</w:t>
              <w:br/>
              <w:t>Compensation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283"/>
              <w:jc w:val="left"/>
              <w:rPr/>
            </w:pPr>
            <w:r>
              <w:rPr/>
              <w:t>Shahar Hania, 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      </w:t>
            </w:r>
            <w:r>
              <w:rPr/>
              <w:t>302</w:t>
            </w:r>
          </w:p>
        </w:tc>
        <w:tc>
          <w:tcPr>
            <w:tcW w:w="290"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1253" w:type="dxa"/>
            <w:tcBorders/>
            <w:shd w:fill="CCEEFF" w:val="clear"/>
            <w:tcMar>
              <w:bottom w:w="0" w:type="dxa"/>
            </w:tcMar>
            <w:vAlign w:val="center"/>
          </w:tcPr>
          <w:p>
            <w:pPr>
              <w:pStyle w:val="TableContents"/>
              <w:bidi w:val="0"/>
              <w:spacing w:before="0" w:after="283"/>
              <w:jc w:val="right"/>
              <w:rPr/>
            </w:pPr>
            <w:r>
              <w:rPr/>
              <w:t>        </w:t>
            </w: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410" w:type="dxa"/>
            <w:tcBorders/>
            <w:shd w:fill="CCEEFF" w:val="clear"/>
            <w:tcMar>
              <w:bottom w:w="0" w:type="dxa"/>
            </w:tcMar>
            <w:vAlign w:val="center"/>
          </w:tcPr>
          <w:p>
            <w:pPr>
              <w:pStyle w:val="TableContents"/>
              <w:bidi w:val="0"/>
              <w:spacing w:before="0" w:after="283"/>
              <w:jc w:val="right"/>
              <w:rPr/>
            </w:pPr>
            <w:r>
              <w:rPr/>
              <w:t>353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 w:type="dxa"/>
            <w:tcBorders/>
            <w:tcMar>
              <w:bottom w:w="0" w:type="dxa"/>
            </w:tcMar>
            <w:vAlign w:val="center"/>
          </w:tcPr>
          <w:p>
            <w:pPr>
              <w:pStyle w:val="TableContents"/>
              <w:bidi w:val="0"/>
              <w:spacing w:before="0" w:after="283"/>
              <w:jc w:val="left"/>
              <w:rPr/>
            </w:pPr>
            <w:r>
              <w:rPr/>
              <w:t> </w:t>
            </w:r>
          </w:p>
        </w:tc>
        <w:tc>
          <w:tcPr>
            <w:tcW w:w="1052"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7" w:type="dxa"/>
            <w:tcBorders/>
            <w:tcMar>
              <w:bottom w:w="0" w:type="dxa"/>
            </w:tcMar>
            <w:vAlign w:val="center"/>
          </w:tcPr>
          <w:p>
            <w:pPr>
              <w:pStyle w:val="TableContents"/>
              <w:bidi w:val="0"/>
              <w:spacing w:before="0" w:after="283"/>
              <w:jc w:val="left"/>
              <w:rPr/>
            </w:pPr>
            <w:r>
              <w:rPr/>
              <w:t> </w:t>
            </w:r>
          </w:p>
        </w:tc>
        <w:tc>
          <w:tcPr>
            <w:tcW w:w="1253"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283"/>
              <w:jc w:val="left"/>
              <w:rPr/>
            </w:pPr>
            <w:r>
              <w:rPr/>
              <w:t>Ofer Naveh, CFO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229</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1253" w:type="dxa"/>
            <w:tcBorders/>
            <w:shd w:fill="CCEEFF" w:val="clear"/>
            <w:tcMar>
              <w:bottom w:w="0" w:type="dxa"/>
            </w:tcMar>
            <w:vAlign w:val="center"/>
          </w:tcPr>
          <w:p>
            <w:pPr>
              <w:pStyle w:val="TableContents"/>
              <w:bidi w:val="0"/>
              <w:spacing w:before="0" w:after="283"/>
              <w:jc w:val="right"/>
              <w:rPr/>
            </w:pPr>
            <w:r>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410" w:type="dxa"/>
            <w:tcBorders/>
            <w:shd w:fill="CCEEFF" w:val="clear"/>
            <w:tcMar>
              <w:bottom w:w="0" w:type="dxa"/>
            </w:tcMar>
            <w:vAlign w:val="center"/>
          </w:tcPr>
          <w:p>
            <w:pPr>
              <w:pStyle w:val="TableContents"/>
              <w:bidi w:val="0"/>
              <w:spacing w:before="0" w:after="283"/>
              <w:jc w:val="right"/>
              <w:rPr/>
            </w:pPr>
            <w:r>
              <w:rPr/>
              <w:t>251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 w:type="dxa"/>
            <w:tcBorders/>
            <w:tcMar>
              <w:bottom w:w="0" w:type="dxa"/>
            </w:tcMar>
            <w:vAlign w:val="center"/>
          </w:tcPr>
          <w:p>
            <w:pPr>
              <w:pStyle w:val="TableContents"/>
              <w:bidi w:val="0"/>
              <w:spacing w:before="0" w:after="283"/>
              <w:jc w:val="left"/>
              <w:rPr/>
            </w:pPr>
            <w:r>
              <w:rPr/>
              <w:t> </w:t>
            </w:r>
          </w:p>
        </w:tc>
        <w:tc>
          <w:tcPr>
            <w:tcW w:w="1052"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7" w:type="dxa"/>
            <w:tcBorders/>
            <w:tcMar>
              <w:bottom w:w="0" w:type="dxa"/>
            </w:tcMar>
            <w:vAlign w:val="center"/>
          </w:tcPr>
          <w:p>
            <w:pPr>
              <w:pStyle w:val="TableContents"/>
              <w:bidi w:val="0"/>
              <w:spacing w:before="0" w:after="283"/>
              <w:jc w:val="left"/>
              <w:rPr/>
            </w:pPr>
            <w:r>
              <w:rPr/>
              <w:t> </w:t>
            </w:r>
          </w:p>
        </w:tc>
        <w:tc>
          <w:tcPr>
            <w:tcW w:w="1253"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283"/>
              <w:jc w:val="left"/>
              <w:rPr/>
            </w:pPr>
            <w:r>
              <w:rPr/>
              <w:t>Amit Klir, VP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229</w:t>
            </w:r>
          </w:p>
        </w:tc>
        <w:tc>
          <w:tcPr>
            <w:tcW w:w="290"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1253"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410" w:type="dxa"/>
            <w:tcBorders/>
            <w:shd w:fill="CCEEFF" w:val="clear"/>
            <w:tcMar>
              <w:bottom w:w="0" w:type="dxa"/>
            </w:tcMar>
            <w:vAlign w:val="center"/>
          </w:tcPr>
          <w:p>
            <w:pPr>
              <w:pStyle w:val="TableContents"/>
              <w:bidi w:val="0"/>
              <w:spacing w:before="0" w:after="283"/>
              <w:jc w:val="right"/>
              <w:rPr/>
            </w:pPr>
            <w:r>
              <w:rPr/>
              <w:t>236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 w:type="dxa"/>
            <w:tcBorders/>
            <w:tcMar>
              <w:bottom w:w="0" w:type="dxa"/>
            </w:tcMar>
            <w:vAlign w:val="center"/>
          </w:tcPr>
          <w:p>
            <w:pPr>
              <w:pStyle w:val="TableContents"/>
              <w:bidi w:val="0"/>
              <w:spacing w:before="0" w:after="283"/>
              <w:jc w:val="left"/>
              <w:rPr/>
            </w:pPr>
            <w:r>
              <w:rPr/>
              <w:t> </w:t>
            </w:r>
          </w:p>
        </w:tc>
        <w:tc>
          <w:tcPr>
            <w:tcW w:w="1052"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7" w:type="dxa"/>
            <w:tcBorders/>
            <w:tcMar>
              <w:bottom w:w="0" w:type="dxa"/>
            </w:tcMar>
            <w:vAlign w:val="center"/>
          </w:tcPr>
          <w:p>
            <w:pPr>
              <w:pStyle w:val="TableContents"/>
              <w:bidi w:val="0"/>
              <w:spacing w:before="0" w:after="283"/>
              <w:jc w:val="left"/>
              <w:rPr/>
            </w:pPr>
            <w:r>
              <w:rPr/>
              <w:t> </w:t>
            </w:r>
          </w:p>
        </w:tc>
        <w:tc>
          <w:tcPr>
            <w:tcW w:w="1253"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283"/>
              <w:jc w:val="left"/>
              <w:rPr/>
            </w:pPr>
            <w:r>
              <w:rPr/>
              <w:t>Ofer Grisaro, VP Sales and Marketing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191</w:t>
            </w:r>
          </w:p>
        </w:tc>
        <w:tc>
          <w:tcPr>
            <w:tcW w:w="290"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1253" w:type="dxa"/>
            <w:tcBorders/>
            <w:shd w:fill="CCEEFF" w:val="clear"/>
            <w:tcMar>
              <w:bottom w:w="0" w:type="dxa"/>
            </w:tcMar>
            <w:vAlign w:val="center"/>
          </w:tcPr>
          <w:p>
            <w:pPr>
              <w:pStyle w:val="TableContents"/>
              <w:bidi w:val="0"/>
              <w:spacing w:before="0" w:after="283"/>
              <w:jc w:val="righ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410" w:type="dxa"/>
            <w:tcBorders/>
            <w:shd w:fill="CCEEFF" w:val="clear"/>
            <w:tcMar>
              <w:bottom w:w="0" w:type="dxa"/>
            </w:tcMar>
            <w:vAlign w:val="center"/>
          </w:tcPr>
          <w:p>
            <w:pPr>
              <w:pStyle w:val="TableContents"/>
              <w:bidi w:val="0"/>
              <w:spacing w:before="0" w:after="283"/>
              <w:jc w:val="right"/>
              <w:rPr/>
            </w:pPr>
            <w:r>
              <w:rPr/>
              <w:t>198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5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 w:type="dxa"/>
            <w:tcBorders/>
            <w:tcMar>
              <w:bottom w:w="0" w:type="dxa"/>
            </w:tcMar>
            <w:vAlign w:val="center"/>
          </w:tcPr>
          <w:p>
            <w:pPr>
              <w:pStyle w:val="TableContents"/>
              <w:bidi w:val="0"/>
              <w:spacing w:before="0" w:after="283"/>
              <w:jc w:val="left"/>
              <w:rPr/>
            </w:pPr>
            <w:r>
              <w:rPr/>
              <w:t> </w:t>
            </w:r>
          </w:p>
        </w:tc>
        <w:tc>
          <w:tcPr>
            <w:tcW w:w="1052"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7" w:type="dxa"/>
            <w:tcBorders/>
            <w:tcMar>
              <w:bottom w:w="0" w:type="dxa"/>
            </w:tcMar>
            <w:vAlign w:val="center"/>
          </w:tcPr>
          <w:p>
            <w:pPr>
              <w:pStyle w:val="TableContents"/>
              <w:bidi w:val="0"/>
              <w:spacing w:before="0" w:after="283"/>
              <w:jc w:val="left"/>
              <w:rPr/>
            </w:pPr>
            <w:r>
              <w:rPr/>
              <w:t> </w:t>
            </w:r>
          </w:p>
        </w:tc>
        <w:tc>
          <w:tcPr>
            <w:tcW w:w="1253"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5555" w:type="dxa"/>
            <w:tcBorders/>
            <w:shd w:fill="CCEEFF" w:val="clear"/>
            <w:tcMar>
              <w:bottom w:w="0" w:type="dxa"/>
            </w:tcMar>
            <w:vAlign w:val="center"/>
          </w:tcPr>
          <w:p>
            <w:pPr>
              <w:pStyle w:val="TableContents"/>
              <w:bidi w:val="0"/>
              <w:spacing w:before="0" w:after="283"/>
              <w:jc w:val="left"/>
              <w:rPr/>
            </w:pPr>
            <w:r>
              <w:rPr/>
              <w:t>Zachi Bar- Yehoshua, COO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180</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1253" w:type="dxa"/>
            <w:tcBorders/>
            <w:shd w:fill="CCEEFF" w:val="clear"/>
            <w:tcMar>
              <w:bottom w:w="0" w:type="dxa"/>
            </w:tcMar>
            <w:vAlign w:val="center"/>
          </w:tcPr>
          <w:p>
            <w:pPr>
              <w:pStyle w:val="TableContents"/>
              <w:bidi w:val="0"/>
              <w:spacing w:before="0" w:after="283"/>
              <w:jc w:val="righ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410" w:type="dxa"/>
            <w:tcBorders/>
            <w:shd w:fill="CCEEFF" w:val="clear"/>
            <w:tcMar>
              <w:bottom w:w="0" w:type="dxa"/>
            </w:tcMar>
            <w:vAlign w:val="center"/>
          </w:tcPr>
          <w:p>
            <w:pPr>
              <w:pStyle w:val="TableContents"/>
              <w:bidi w:val="0"/>
              <w:spacing w:before="0" w:after="283"/>
              <w:jc w:val="right"/>
              <w:rPr/>
            </w:pPr>
            <w:r>
              <w:rPr/>
              <w:t>181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245"/>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amounts reported in the table are in terms of cost to us, as recorded in our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compensation amounts denominated in NIS were converted into U.S. dollars at the average conversion rate for the year ended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245"/>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 one-time bonus to our Chief Executive Officer in the amount of NIS 84,000 (approximately $23,000).</w:t>
            </w:r>
          </w:p>
        </w:tc>
      </w:tr>
    </w:tbl>
    <w:p>
      <w:pPr>
        <w:pStyle w:val="TextBody"/>
        <w:bidi w:val="0"/>
        <w:spacing w:before="0" w:after="0"/>
        <w:ind w:left="0" w:right="0" w:hanging="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 one-time bonus to our VP R&amp;D in the amount of NIS 52,000 (approximately $14,000)</w:t>
            </w:r>
          </w:p>
        </w:tc>
      </w:tr>
    </w:tbl>
    <w:p>
      <w:pPr>
        <w:pStyle w:val="TextBody"/>
        <w:bidi w:val="0"/>
        <w:spacing w:before="0" w:after="0"/>
        <w:ind w:left="284" w:right="0" w:hanging="284"/>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sales bonuses to our VP Sales and Marketing in a total amount of NIS 62,375 (approximately $17,000)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and Service Agreements with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written employment agreements and/or service agreements with each of our executive officers. These agreements are terminable by either party upon prior written notice ranging from 30 to 60 days. All of these agreements contain customary provisions regarding noncompetition, confidentiality of information and assignment of inventions. However, the enforceability of the noncompetition provisions may be limited under applicable law. In addition, we have entered into agreements with each executive officer and director pursuant to which we have agreed to indemnify each of them up to a certain amount and to the extent that these liabilities are not covered by directors and officers insurance. We contribute (usually following a trial period of three months) monthly amounts for the benefit and on behalf of all our employees located in Israel to a pension fund pursuant to Section 14 of Israel’s Severance Pay Law. Employees covered by Section 14 are entitled to monthly deposits at a rate of 8.33% of their monthly salary, made on their behalf by us. Payments in accordance with Section 14 release us from any future severance liabilities in respect of those employees. We do not set aside or accrue any additional amounts to provide pension, severance, retirement or other similar benefits or expenses. Most of our executive officers do not receive benefits upon the termination of their respective employment with us, other than benefits under Section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completion of our initial public offering, we paid a one-time IPO bonus to our Chief Executive Officer in the amount of NIS 312,000 (approximately $97,000), and granted our Chief Executive Officer options to purchase 19,510 ordinary shares (equal to 0.75% of our post-IPO share capital on a fully diluted basis), with an exercise price of $14.80 per share (equal to the average closing share price on the Nasdaq over the first 30 calendar days that followed our initial public offering on April 4, 2022). Such options will vest one-third following 12 months from the completion date of our initial public offering and the balance on a quarterly basis during the following 24 months. At our extraordinary general meeting of shareholders held in October 2023, following the approval of our board of directors and the compensation committee, our shareholders approved as amendment to the terms of engagement with our Chief Executive Officer as follows: (1) to increase our Chief Executive Officer’s monthly fee by NIS9,000 to an amount of NIS 93,000, or the New Monthly Fee, effective as of September 1, 2023; (2) during his engagement as the our Chief Executive Officer, our Chief Executive Officer may be entitled to an annual bonus of up to six (6) New Monthly Fees, as set out in our Remuneration Policy for the our officers, based, among others, on the achievement of certain goals, as shall be determined by our compensation committee and our board of directors; and (3) to grant our Chief Executive Officer options to purchase 42,497 ordinary shares at an exercise price of US $14.80 per-share, to be vested over a three-year period as of the grant date on quarterly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the completion of our initial public offering, we paid a one-time IPO bonus to our Chief Financial Officer in the amount of NIS 270,000 (approximately $84,000), and granted our Chief Financial Officer options to purchase 15,608 ordinary shares (equal to 0.6% of our post-IPO share capital on a fully diluted basis), with an exercise price of $14.80 per share (equal to the average closing share price on the Nasdaq over the first 30 calendar days that followed our initial public offering on April 4, 2022). Such options will vest one-third following 12 months from the completion date of our initial public offering and the balance on quarterly basis during the following 24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Service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written agreements with any director providing for benefits upon the termination of his engagement with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members are each entitled to an annual fee and a per meeting fee of the fixed amounts set under the Companies Law in accordance with our then-effective grade, so that as of January 1, 2024 and according to the our equity as of December 31, 2023, all members of our board of directors, who are not otherwise employed by us, shall be entitled to an annual fee of NIS 32,515 and a per meeting fee of NIS 1,040. Board members may waive there right to receive the above fees or options or any part thereof, and director nominees may assign their right to remunerations to the shareholder that appointed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C. Board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articles of association, our board of directors must consist of at least four (4) directors and not more than thirteen (13) directors, including at least two external directors if required to be appointed under the Companies Law. Pursuant to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services agreement that we have entered into with him. All other executive officers are appointed by our Chief Executive Officer. Their terms of employment are subject to the approval of the board of directors’ compensation committee and of the board of directors, as well as our shareholders in the event such terms deviate from our office holder compensation policy, and are subject to the terms of any applicable engagement agreements that we may enter into with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except external directors and directors appointed by shareholders entitled to appoint a director for each 10% of the issued and outstanding share capital of the company that the shareholders owns, will hold office until the annual general meeting of our shareholders for the year in which his or her term expires, he or she resigns or upon the occurrence of certain events, in accordance with the Companies Law and our amended and restated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certain circumstances, our amended and restated articles of association allow our board of directors to appoint directors to fill vacancies on our board of directors or in addition to the acting directors (subject to the limitation on the number of directors), until the next annual general meeting. External directors may be elected for up to two additional three-year terms after their initial three-year term under the circumstances described below, with certain exceptions as described below. External directors may be removed from office only under the limited circumstances set forth in the Companies Law. See “Item 6.C.—Directors, Senior Management and Employees—Board Practices—External Directors”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any shareholder holding at least one percent of our outstanding voting power may request that the board of directors include a matter on the agenda of a general meeting to be held in the future, provided that the board determines that the matter is appropriate to be considered in a general meeting including in order to nominate a director in an annual shareholders meeting. Any such notice must include certain information, including the consent of the proposed director nominee to serve as our director if elected, and a declaration signed by the nominee declaring that he or she possess the requisite skills and has the availability to carry out his or her duties. Additionally, the nominee must provide details of such skills, and demonstrate an absence of any limitation under the Companies Law that may prevent his or her election, and affirm that all of the required election-information is provided to us, pursuant to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we must have at least one director with accounting and financial expertise.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elect one director to serve as the chairman of the board of directors to preside at the meetings of the board of directors, and may also remove that director as chairman. Pursuant to the Companies Law, neither the chief executive officer nor any of his or her relatives is permitted to serve as the chairman of the board of directors of a public company, and a public company may not vest the chairman or any of his or her relatives with the chief executive officer’s authorities. In addition, a person who reports, directly or indirectly, to the chief executive officer may not serve as the chairman of the board of directors; the chairman may not be vested with authorities of a person who reports, directly or indirectly, to the chief executive officer; and the chairman may not serve in any other position in the company or a controlled company, but he or she may serve as a director or chairman of a controlled company. However, the Companies Law permits a company’s shareholders to determine, for a period not exceeding three years from each such determination, that the chairman or his or her relative may serve as chief executive officer or be vested with the chief executive officer’s authorities, and that the chief executive officer or his or her relative may serve as chairman or be vested with the chairman’s authorities. Such determination of a company’s shareholders requires either: (1) the approval of at least a majority of the shares of those shareholders present and voting on the matter (other than controlling shareholders and those having a personal interest in the determination) (shares held by abstaining shareholders shall not be considered); or (2) that the total number of shares opposing such determination does not exceed 2% of the total voting power in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subject to the provisions of the Companies Law and certain limitations set forth therein, delegate its powers to committees of the board, and it may, from time to time, revoke such delegation or alter the composition of any such committees. Unless otherwise expressly provided by the board of directors, the committees shall not be empowered to further delegate such powers. The composition and duties of our audit committee and compensation committee are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oversees how management monitors a company’s compliance with its risk management policies and procedures, and reviews the adequacy of the risk management framework in relation to the risks faced by a company. The board of directors is assisted in its oversight role by an internal auditor. The internal auditor undertakes both regular and ad hoc reviews of risk management controls and procedures, the results of which are reported to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Diversity of the Board of Directors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 Matrix (As of March 28, 2024)</w:t>
      </w:r>
    </w:p>
    <w:p>
      <w:pPr>
        <w:pStyle w:val="TextBody"/>
        <w:bidi w:val="0"/>
        <w:spacing w:before="0" w:after="0"/>
        <w:ind w:left="1440" w:right="0" w:hanging="0"/>
        <w:jc w:val="center"/>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3935"/>
        <w:gridCol w:w="470"/>
      </w:tblGrid>
      <w:tr>
        <w:trPr/>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Country of Principal Executive Offices</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w:t>
            </w:r>
          </w:p>
        </w:tc>
      </w:tr>
      <w:tr>
        <w:trPr/>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Private Issuer</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tc>
      </w:tr>
      <w:tr>
        <w:trPr/>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Prohibited under Home Country Law</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t>
            </w:r>
          </w:p>
        </w:tc>
      </w:tr>
      <w:tr>
        <w:trPr/>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Directors</w:t>
            </w:r>
          </w:p>
        </w:tc>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bl>
    <w:p>
      <w:pPr>
        <w:pStyle w:val="TextBody"/>
        <w:bidi w:val="0"/>
        <w:spacing w:before="0" w:after="0"/>
        <w:ind w:left="144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28" w:type="dxa"/>
          <w:right w:w="0" w:type="dxa"/>
        </w:tblCellMar>
      </w:tblPr>
      <w:tblGrid>
        <w:gridCol w:w="5600"/>
        <w:gridCol w:w="60"/>
        <w:gridCol w:w="141"/>
        <w:gridCol w:w="614"/>
        <w:gridCol w:w="60"/>
        <w:gridCol w:w="60"/>
        <w:gridCol w:w="159"/>
        <w:gridCol w:w="371"/>
        <w:gridCol w:w="60"/>
        <w:gridCol w:w="60"/>
        <w:gridCol w:w="478"/>
        <w:gridCol w:w="757"/>
        <w:gridCol w:w="60"/>
        <w:gridCol w:w="60"/>
        <w:gridCol w:w="274"/>
        <w:gridCol w:w="436"/>
        <w:gridCol w:w="75"/>
      </w:tblGrid>
      <w:tr>
        <w:trPr/>
        <w:tc>
          <w:tcPr>
            <w:tcW w:w="5600" w:type="dxa"/>
            <w:tcBorders>
              <w:bottom w:val="single" w:sz="12" w:space="0" w:color="000000"/>
            </w:tcBorders>
            <w:vAlign w:val="center"/>
          </w:tcPr>
          <w:p>
            <w:pPr>
              <w:pStyle w:val="TableContents"/>
              <w:bidi w:val="0"/>
              <w:spacing w:before="0" w:after="283"/>
              <w:jc w:val="left"/>
              <w:rPr>
                <w:b/>
              </w:rPr>
            </w:pPr>
            <w:r>
              <w:rPr>
                <w:b/>
              </w:rPr>
              <w:t>Part I: Gender Identity</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12" w:space="0" w:color="000000"/>
            </w:tcBorders>
            <w:vAlign w:val="center"/>
          </w:tcPr>
          <w:p>
            <w:pPr>
              <w:pStyle w:val="TableContents"/>
              <w:bidi w:val="0"/>
              <w:spacing w:before="0" w:after="283"/>
              <w:jc w:val="center"/>
              <w:rPr>
                <w:b/>
              </w:rPr>
            </w:pPr>
            <w:r>
              <w:rPr>
                <w:b/>
              </w:rPr>
              <w:t>Female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30" w:type="dxa"/>
            <w:gridSpan w:val="2"/>
            <w:tcBorders>
              <w:bottom w:val="single" w:sz="12" w:space="0" w:color="000000"/>
            </w:tcBorders>
            <w:vAlign w:val="center"/>
          </w:tcPr>
          <w:p>
            <w:pPr>
              <w:pStyle w:val="TableContents"/>
              <w:bidi w:val="0"/>
              <w:spacing w:before="0" w:after="283"/>
              <w:jc w:val="center"/>
              <w:rPr>
                <w:b/>
              </w:rPr>
            </w:pPr>
            <w:r>
              <w:rPr>
                <w:b/>
              </w:rPr>
              <w:t>Male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12" w:space="0" w:color="000000"/>
            </w:tcBorders>
            <w:vAlign w:val="center"/>
          </w:tcPr>
          <w:p>
            <w:pPr>
              <w:pStyle w:val="TableContents"/>
              <w:bidi w:val="0"/>
              <w:spacing w:before="0" w:after="283"/>
              <w:jc w:val="center"/>
              <w:rPr>
                <w:b/>
              </w:rPr>
            </w:pPr>
            <w:r>
              <w:rPr>
                <w:b/>
              </w:rPr>
              <w:t>Non-Binary</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1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Did Not</w:t>
              <w:br/>
              <w:t>Disclose</w:t>
              <w:br/>
              <w:t>Gender</w:t>
            </w:r>
          </w:p>
        </w:tc>
        <w:tc>
          <w:tcPr>
            <w:tcW w:w="75" w:type="dxa"/>
            <w:tcBorders/>
            <w:tcMar>
              <w:bottom w:w="0" w:type="dxa"/>
            </w:tcMar>
            <w:vAlign w:val="center"/>
          </w:tcPr>
          <w:p>
            <w:pPr>
              <w:pStyle w:val="TableContents"/>
              <w:bidi w:val="0"/>
              <w:spacing w:before="0" w:after="283"/>
              <w:jc w:val="center"/>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Directors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 w:type="dxa"/>
            <w:tcBorders/>
            <w:shd w:fill="CCEEFF" w:val="clear"/>
            <w:tcMar>
              <w:bottom w:w="0" w:type="dxa"/>
            </w:tcMar>
            <w:vAlign w:val="center"/>
          </w:tcPr>
          <w:p>
            <w:pPr>
              <w:pStyle w:val="TableContents"/>
              <w:bidi w:val="0"/>
              <w:spacing w:before="0" w:after="283"/>
              <w:jc w:val="center"/>
              <w:rPr/>
            </w:pPr>
            <w:r>
              <w:rPr/>
              <w:t> </w:t>
            </w:r>
          </w:p>
        </w:tc>
        <w:tc>
          <w:tcPr>
            <w:tcW w:w="614" w:type="dxa"/>
            <w:tcBorders/>
            <w:shd w:fill="CCEEFF" w:val="clear"/>
            <w:tcMar>
              <w:bottom w:w="0" w:type="dxa"/>
            </w:tcMar>
            <w:vAlign w:val="center"/>
          </w:tcPr>
          <w:p>
            <w:pPr>
              <w:pStyle w:val="TableContents"/>
              <w:bidi w:val="0"/>
              <w:spacing w:before="0" w:after="283"/>
              <w:jc w:val="center"/>
              <w:rPr/>
            </w:pPr>
            <w:r>
              <w:rPr/>
              <w:t>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9" w:type="dxa"/>
            <w:tcBorders/>
            <w:shd w:fill="CCEEFF" w:val="clear"/>
            <w:tcMar>
              <w:bottom w:w="0" w:type="dxa"/>
            </w:tcMar>
            <w:vAlign w:val="center"/>
          </w:tcPr>
          <w:p>
            <w:pPr>
              <w:pStyle w:val="TableContents"/>
              <w:bidi w:val="0"/>
              <w:spacing w:before="0" w:after="283"/>
              <w:jc w:val="center"/>
              <w:rPr/>
            </w:pPr>
            <w:r>
              <w:rPr/>
              <w:t> </w:t>
            </w:r>
          </w:p>
        </w:tc>
        <w:tc>
          <w:tcPr>
            <w:tcW w:w="371" w:type="dxa"/>
            <w:tcBorders/>
            <w:shd w:fill="CCEEFF" w:val="clear"/>
            <w:tcMar>
              <w:bottom w:w="0" w:type="dxa"/>
            </w:tcMar>
            <w:vAlign w:val="center"/>
          </w:tcPr>
          <w:p>
            <w:pPr>
              <w:pStyle w:val="TableContents"/>
              <w:bidi w:val="0"/>
              <w:spacing w:before="0" w:after="283"/>
              <w:jc w:val="center"/>
              <w:rPr/>
            </w:pPr>
            <w:r>
              <w:rPr/>
              <w:t>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78" w:type="dxa"/>
            <w:tcBorders/>
            <w:shd w:fill="CCEEFF" w:val="clear"/>
            <w:tcMar>
              <w:bottom w:w="0" w:type="dxa"/>
            </w:tcMar>
            <w:vAlign w:val="center"/>
          </w:tcPr>
          <w:p>
            <w:pPr>
              <w:pStyle w:val="TableContents"/>
              <w:bidi w:val="0"/>
              <w:spacing w:before="0" w:after="283"/>
              <w:jc w:val="center"/>
              <w:rPr/>
            </w:pPr>
            <w:r>
              <w:rPr/>
              <w:t> </w:t>
            </w:r>
          </w:p>
        </w:tc>
        <w:tc>
          <w:tcPr>
            <w:tcW w:w="757"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74" w:type="dxa"/>
            <w:tcBorders/>
            <w:shd w:fill="CCEEFF" w:val="clear"/>
            <w:tcMar>
              <w:bottom w:w="0" w:type="dxa"/>
            </w:tcMar>
            <w:vAlign w:val="center"/>
          </w:tcPr>
          <w:p>
            <w:pPr>
              <w:pStyle w:val="TableContents"/>
              <w:bidi w:val="0"/>
              <w:spacing w:before="0" w:after="283"/>
              <w:jc w:val="center"/>
              <w:rPr/>
            </w:pPr>
            <w:r>
              <w:rPr/>
              <w:t> </w:t>
            </w:r>
          </w:p>
        </w:tc>
        <w:tc>
          <w:tcPr>
            <w:tcW w:w="436" w:type="dxa"/>
            <w:tcBorders/>
            <w:shd w:fill="CCEEFF" w:val="clear"/>
            <w:tcMar>
              <w:bottom w:w="0" w:type="dxa"/>
            </w:tcMar>
            <w:vAlign w:val="center"/>
          </w:tcPr>
          <w:p>
            <w:pPr>
              <w:pStyle w:val="TableContents"/>
              <w:bidi w:val="0"/>
              <w:spacing w:before="0" w:after="283"/>
              <w:jc w:val="center"/>
              <w:rPr/>
            </w:pPr>
            <w:r>
              <w:rPr/>
              <w:t>-</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5600" w:type="dxa"/>
            <w:tcBorders/>
            <w:tcMar>
              <w:bottom w:w="0" w:type="dxa"/>
            </w:tcMar>
            <w:vAlign w:val="center"/>
          </w:tcPr>
          <w:p>
            <w:pPr>
              <w:pStyle w:val="TableContents"/>
              <w:bidi w:val="0"/>
              <w:spacing w:before="0" w:after="283"/>
              <w:jc w:val="left"/>
              <w:rPr>
                <w:b/>
              </w:rPr>
            </w:pPr>
            <w:r>
              <w:rPr>
                <w:b/>
              </w:rPr>
              <w:t>Part II: Demographic Background</w:t>
            </w:r>
          </w:p>
        </w:tc>
        <w:tc>
          <w:tcPr>
            <w:tcW w:w="60" w:type="dxa"/>
            <w:tcBorders/>
            <w:tcMar>
              <w:bottom w:w="0" w:type="dxa"/>
            </w:tcMar>
            <w:vAlign w:val="center"/>
          </w:tcPr>
          <w:p>
            <w:pPr>
              <w:pStyle w:val="TableContents"/>
              <w:bidi w:val="0"/>
              <w:spacing w:before="0" w:after="283"/>
              <w:jc w:val="center"/>
              <w:rPr/>
            </w:pPr>
            <w:r>
              <w:rPr/>
              <w:t> </w:t>
            </w:r>
          </w:p>
        </w:tc>
        <w:tc>
          <w:tcPr>
            <w:tcW w:w="141" w:type="dxa"/>
            <w:tcBorders/>
            <w:tcMar>
              <w:bottom w:w="0" w:type="dxa"/>
            </w:tcMar>
            <w:vAlign w:val="center"/>
          </w:tcPr>
          <w:p>
            <w:pPr>
              <w:pStyle w:val="TableContents"/>
              <w:bidi w:val="0"/>
              <w:spacing w:before="0" w:after="283"/>
              <w:jc w:val="center"/>
              <w:rPr/>
            </w:pPr>
            <w:r>
              <w:rPr/>
              <w:t> </w:t>
            </w:r>
          </w:p>
        </w:tc>
        <w:tc>
          <w:tcPr>
            <w:tcW w:w="61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 w:type="dxa"/>
            <w:tcBorders/>
            <w:tcMar>
              <w:bottom w:w="0" w:type="dxa"/>
            </w:tcMar>
            <w:vAlign w:val="center"/>
          </w:tcPr>
          <w:p>
            <w:pPr>
              <w:pStyle w:val="TableContents"/>
              <w:bidi w:val="0"/>
              <w:spacing w:before="0" w:after="283"/>
              <w:jc w:val="center"/>
              <w:rPr/>
            </w:pPr>
            <w:r>
              <w:rPr/>
              <w:t> </w:t>
            </w:r>
          </w:p>
        </w:tc>
        <w:tc>
          <w:tcPr>
            <w:tcW w:w="37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78" w:type="dxa"/>
            <w:tcBorders/>
            <w:tcMar>
              <w:bottom w:w="0" w:type="dxa"/>
            </w:tcMar>
            <w:vAlign w:val="center"/>
          </w:tcPr>
          <w:p>
            <w:pPr>
              <w:pStyle w:val="TableContents"/>
              <w:bidi w:val="0"/>
              <w:spacing w:before="0" w:after="283"/>
              <w:jc w:val="center"/>
              <w:rPr/>
            </w:pPr>
            <w:r>
              <w:rPr/>
              <w:t> </w:t>
            </w:r>
          </w:p>
        </w:tc>
        <w:tc>
          <w:tcPr>
            <w:tcW w:w="75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74" w:type="dxa"/>
            <w:tcBorders/>
            <w:tcMar>
              <w:bottom w:w="0" w:type="dxa"/>
            </w:tcMar>
            <w:vAlign w:val="center"/>
          </w:tcPr>
          <w:p>
            <w:pPr>
              <w:pStyle w:val="TableContents"/>
              <w:bidi w:val="0"/>
              <w:spacing w:before="0" w:after="283"/>
              <w:jc w:val="center"/>
              <w:rPr/>
            </w:pPr>
            <w:r>
              <w:rPr/>
              <w:t> </w:t>
            </w:r>
          </w:p>
        </w:tc>
        <w:tc>
          <w:tcPr>
            <w:tcW w:w="436"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ind w:left="0" w:right="0" w:hanging="180"/>
              <w:jc w:val="center"/>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Underrepresented Individual in Home Country Jurisdiction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gridSpan w:val="14"/>
            <w:tcBorders/>
            <w:shd w:fill="CCEEFF" w:val="clear"/>
            <w:tcMar>
              <w:bottom w:w="0" w:type="dxa"/>
            </w:tcMar>
            <w:vAlign w:val="center"/>
          </w:tcPr>
          <w:p>
            <w:pPr>
              <w:pStyle w:val="TableContents"/>
              <w:bidi w:val="0"/>
              <w:spacing w:before="0" w:after="283"/>
              <w:jc w:val="center"/>
              <w:rPr/>
            </w:pPr>
            <w:r>
              <w:rPr/>
              <w:t>-</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5600" w:type="dxa"/>
            <w:tcBorders/>
            <w:tcMar>
              <w:bottom w:w="0" w:type="dxa"/>
            </w:tcMar>
            <w:vAlign w:val="center"/>
          </w:tcPr>
          <w:p>
            <w:pPr>
              <w:pStyle w:val="TableContents"/>
              <w:bidi w:val="0"/>
              <w:spacing w:before="0" w:after="283"/>
              <w:jc w:val="left"/>
              <w:rPr/>
            </w:pPr>
            <w:r>
              <w:rPr/>
              <w:t>LGBTQ+</w:t>
            </w:r>
          </w:p>
        </w:tc>
        <w:tc>
          <w:tcPr>
            <w:tcW w:w="60" w:type="dxa"/>
            <w:tcBorders/>
            <w:tcMar>
              <w:bottom w:w="0" w:type="dxa"/>
            </w:tcMar>
            <w:vAlign w:val="center"/>
          </w:tcPr>
          <w:p>
            <w:pPr>
              <w:pStyle w:val="TableContents"/>
              <w:bidi w:val="0"/>
              <w:spacing w:before="0" w:after="283"/>
              <w:jc w:val="center"/>
              <w:rPr/>
            </w:pPr>
            <w:r>
              <w:rPr/>
              <w:t> </w:t>
            </w:r>
          </w:p>
        </w:tc>
        <w:tc>
          <w:tcPr>
            <w:tcW w:w="3590" w:type="dxa"/>
            <w:gridSpan w:val="14"/>
            <w:tcBorders/>
            <w:tcMar>
              <w:bottom w:w="0" w:type="dxa"/>
            </w:tcMar>
            <w:vAlign w:val="center"/>
          </w:tcPr>
          <w:p>
            <w:pPr>
              <w:pStyle w:val="TableContents"/>
              <w:bidi w:val="0"/>
              <w:spacing w:before="0" w:after="283"/>
              <w:jc w:val="center"/>
              <w:rPr/>
            </w:pPr>
            <w:r>
              <w:rPr/>
              <w:t>-</w:t>
            </w:r>
          </w:p>
        </w:tc>
        <w:tc>
          <w:tcPr>
            <w:tcW w:w="75" w:type="dxa"/>
            <w:tcBorders/>
            <w:tcMar>
              <w:bottom w:w="0" w:type="dxa"/>
            </w:tcMar>
            <w:vAlign w:val="center"/>
          </w:tcPr>
          <w:p>
            <w:pPr>
              <w:pStyle w:val="TableContents"/>
              <w:bidi w:val="0"/>
              <w:spacing w:before="0" w:after="283"/>
              <w:jc w:val="center"/>
              <w:rPr/>
            </w:pPr>
            <w:r>
              <w:rPr/>
              <w:t> </w:t>
            </w:r>
          </w:p>
        </w:tc>
      </w:tr>
      <w:tr>
        <w:trPr/>
        <w:tc>
          <w:tcPr>
            <w:tcW w:w="5600" w:type="dxa"/>
            <w:tcBorders/>
            <w:shd w:fill="CCEEFF" w:val="clear"/>
            <w:tcMar>
              <w:bottom w:w="0" w:type="dxa"/>
            </w:tcMar>
            <w:vAlign w:val="center"/>
          </w:tcPr>
          <w:p>
            <w:pPr>
              <w:pStyle w:val="TableContents"/>
              <w:bidi w:val="0"/>
              <w:spacing w:before="0" w:after="283"/>
              <w:jc w:val="left"/>
              <w:rPr/>
            </w:pPr>
            <w:r>
              <w:rPr/>
              <w:t>Did Not Disclose Demographic Background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gridSpan w:val="14"/>
            <w:tcBorders/>
            <w:shd w:fill="CCEEFF" w:val="clear"/>
            <w:tcMar>
              <w:bottom w:w="0" w:type="dxa"/>
            </w:tcMar>
            <w:vAlign w:val="center"/>
          </w:tcPr>
          <w:p>
            <w:pPr>
              <w:pStyle w:val="TableContents"/>
              <w:bidi w:val="0"/>
              <w:spacing w:before="0" w:after="283"/>
              <w:jc w:val="center"/>
              <w:rPr/>
            </w:pPr>
            <w:r>
              <w:rPr/>
              <w:t>-</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External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 Israeli company whose shares have been offered to the public or whose shares are listed for trading on a stock exchange in or outside of Israel is required to appoint at least two external directors to serve on its board of directors. External directors must meet stringent standards of independence. Mr. Yossi Daskal and Mr. Oz Adler have agreed to serve as our external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regulations promulgated under the Companies law, at least one of the external directors is required to have “financial and accounting expertise,” unless another member of the audit committee, who is an independent director under the Nasdaq Listing Rules, has “financial and accounting expertise,” and the other external director or directors are required to have “professional expertise.” An external director may not be appointed to an additional term unless: (1) such director has “accounting and financial expertise;” or (2) he or she has “professional expertise,” and on the date of appointment for another term there is another external director who has “accounting and financial expertise” and the number of “accounting and financial experts” on the board of directors is at least equal to the minimum number determined appropriate by the board of directors. We have determined that Mr. Oz Adler has accounting and financial expertise.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with accounting and financial expertise is a director who, due to his or her education, experience and skills, possesses a high degree of proficiency in, and an understanding of, business – accounting matters and financial statements, such that he or she is able to understand the financial statements of the company in depth and initiate a discussion about the manner in which financial data is presented. A director is deemed to have “professional expertise” if he or she holds an academic degree in certain fields or has at least five years of experience in certain senior positions. The board of directors is charged with determining whether a director possesses financial and accounting expertise or professional qualifications.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directors are elected by a majority vote at a shareholders’ meeting, so long as either: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 majority of the shares held by shareholders who are not controlling shareholders and do not have personal interest in the appointment (excluding a personal interest that did not result from the shareholder’s relationship with the controlling shareholder) have voted in favor of the proposal (shares held by abstaining shareholders shall not be considered); or</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voted against the election of the external director, does not exceed 2% of the aggregate voting rights of our Company.</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for an initial three-year term for an external director. Thereafter, an external director may be reelected by shareholders to serve in that capacity for up to two additional three-year terms, provided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or her service for each such additional term is recommended by one or more shareholders holding at least one percent of the company’s voting rights and is approved at a shareholders meeting by a disinterested majority, where the total number of shares held by non-controlling, disinterested shareholders voting for such reelection exceeds two percent of the aggregate voting rights in the company and subject to additional restrictions set forth in the Companies Law with respect to the affiliation of the external director nominee as described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or her service for each such additional term is recommended by the board of directors and is approved at a shareholders meeting by the same disinterested majority required for the initial election of an external director (as described above); 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external director offered his or her service for each such additional term and was approved in accordance with the provisions of section (1) above.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office for external directors for Israeli companies traded on certain foreign stock exchanges, including the Nasdaq Stock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if elected for the first time (as described above). Prior to the approval of the reelection of the external director at a general shareholders meeting, the company’s shareholders must be informed of the term previously served by him or her and of the reasons why the board of directors and audit committee recommended the extension of his or her term.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directors may be removed only by a special general meeting of shareholders called by the board of directors after the board has determined that circumstances allow such dismissal, at the same special majority of shareholders required for their election or by a court, and in both cases only if the external directors cease to meet the statutory qualifications for their appointment or if they violate their duty of loyalty to our company. In the event of a vacancy created by an external director which causes the company to have fewer than two external directors, the board of directors is required under the Companies Law to call a shareholders meeting as soon as possible to appoint such number of new external directors in order that the company thereafter has two external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with a holder of 5% or more of the issued share capital or voting power in the company or with the most senior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“Controlling Shareholder” means a shareholder with the ability to direct the activities of the company, other than by virtue of being an office holder. A shareholder is presumed to have “control” of the company and thus to be a controlling shareholder of the company if the shareholder holds 50% or more of the “means of control” of the company. “Means of control” is defined as (1) the right to vote at a general meeting of a company or a corresponding body of another corporation; or (2) the right to appoint directors of the corporation or its general manager. For the purpose of approving related-party transactions, the term also includes any shareholder that holds 25% or more of the voting rights of the company if the company has no shareholder that owns more than 50% of its voting rights. For the purpose of determining the holding percentage stated above, two or more shareholders who have a personal interest in a transaction that is brought for the company’s approval are deemed as joint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“relative” is defined in the Companies Law as a spouse, sibling, parent, grandparent or descendant; spouse’s sibling, parent or descendant; and the spouse of each of the foregoing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term “affiliation” and the similar types of disqualifying relationships, as used above, include (subject to certain exceptions):</w:t>
      </w:r>
    </w:p>
    <w:p>
      <w:pPr>
        <w:pStyle w:val="TextBody"/>
        <w:bidi w:val="0"/>
        <w:spacing w:before="0" w:after="0"/>
        <w:ind w:left="0" w:right="0" w:firstLine="72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170"/>
        <w:gridCol w:w="23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employment relationship;</w:t>
            </w:r>
          </w:p>
        </w:tc>
      </w:tr>
    </w:tbl>
    <w:p>
      <w:pPr>
        <w:pStyle w:val="TextBody"/>
        <w:bidi w:val="0"/>
        <w:spacing w:before="0" w:after="0"/>
        <w:ind w:left="360" w:right="0" w:hanging="24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or professional relationship even if not maintained on a regular basis (excluding insignificant relationships);</w:t>
            </w:r>
          </w:p>
        </w:tc>
      </w:tr>
    </w:tbl>
    <w:p>
      <w:pPr>
        <w:pStyle w:val="TextBody"/>
        <w:bidi w:val="0"/>
        <w:spacing w:before="0" w:after="0"/>
        <w:ind w:left="0"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75"/>
        <w:gridCol w:w="170"/>
        <w:gridCol w:w="1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tc>
      </w:tr>
    </w:tbl>
    <w:p>
      <w:pPr>
        <w:pStyle w:val="TextBody"/>
        <w:bidi w:val="0"/>
        <w:spacing w:before="0" w:after="0"/>
        <w:ind w:left="360" w:right="0" w:hanging="2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“office holder” is defined in the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other than for his or her service as an external director as permitted by the Companies Law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a company may not be appointed as an external director of another company if at the same time a director of such other company is acting as an external director of the first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regulations promulgated pursuant to the Companies Law, a company with no controlling shareholder whose shares are listed for trading on specified exchanges outside of Israel, including the Nasdaq Capital Market, may adopt exemptions from various corporate governance requirements of the Companies Law so long as such company satisfies the requirements of applicable foreign country laws and regulations, including applicable stock exchange rules, that apply to companies organized in that country and relating to the appointment of independent directors and the composition of audit and compensation committees. Such exemptions include an exemption from the requirement to appoint external directors and the requirement that an external director be a member of certain committees, as well as the exemption from limitations on directors’ compensation. We may use these exemptions in the future as of the date of this Annual Report we do not have a controlling shareholder.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Directors Under the Companies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 “independent director” is either an external director or a director who meets the same non-affiliation criteria as an external director, (except for (i) the requirement that the director be an Israeli resident (which does not apply to companies such as ours whose securities have been offered outside of Israel or are listed outside of Israel) and (ii) the requirement for accounting and financial expertise or professional qualifications) as determined by the audit committee, and who has not served as a director of the company for more than nine consecutive years. For these purposes, ceasing to serve as a director for a period of two years or less would not be deemed to sever the consecutive nature of such director’s service. Ms. Hila Kiron-Revach has agreed to serve as our independent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promulgated pursuant to the Companies Law provide that a director in a public company whose shares are listed for trading on specified exchanges outside of Israel, including the Nasdaq Capital Market, who qualifies as an independent director under the relevant non-Israeli rules and who meets certain non-affiliation criteria, which are less stringent than those applicable to independent directors as set forth above, would be deemed an “independent” director pursuant to the Companies Law provided: (i) he or she has not served as a director for more than nine consecutive years; (ii) he or she has been approved as such by the audit committee; and (iii) his or her remuneration shall be in accordance with the Companies Law and the regulations promulgated thereunder. For these purposes, ceasing to serve as a director for a period of two years or less would not be deemed to sever the consecutive nature of such director’s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pursuant to these regulations, such company may reappoint a person as an independent director for additional terms, beyond nine years, which do not exceed three years each, if each of the audit committee and the board of directors determine, in that order, that in light of the independent director’s expertise and special contribution to the board of directors and its committees, the reappointment for an additional term is in the company’s best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Alternate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provide, as allowed by the Companies Law, that any director may, subject to the conditions set thereto, appoint a person as an alternate to act in his place, to remove the alternate and appoint another in his place and to appoint an alternate in place of an alternate whose office is vacated for any reason whatsoever. Under the Companies Law, a person who is not qualified to be appointed as a director, a person who is already serving as a director or a person who is already serving as an alternate director for another director, may not be appointed as an alternate director. Nevertheless, a director who is already serving as a director may be appointed as an alternate director for a member of a committee of the board of directors so long as he or she is not already serving as a member of such committee, and if the alternate director is to replace an external director, he or she is required to be an external director and to have either “financial and accounting expertise” or “professional expertise,” depending on the qualifications of the external director he or she is replacing. A person who does not have the requisite “financial and accounting experience” or the “professional expertise,” depending on the qualifications of the external director he or she is replacing, may not be appointed as an alternate director for an external director. A person who is not qualified to be appointed as an independent director, pursuant to the Companies Law, may not be appointed as an alternate director of an independent director qualified as such under the Companies Law. Unless the appointing director limits the time or scope of the appointment, the appointment is effective for all purposes until the appointing director ceases to be a director or terminates the appointment.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comprised of at least three directors, including all of the external directors (one of whom must serve as chair of the committee). The audit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majority of the members of the audit committee of a publicly-traded company must be independent directors under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audit committee are Mr. Yossi Daskal, Ms. Hila Kiron-Revach and Mr. Oz Adler.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will also act as a committee for review of our financial statements as required under the Companies Law, and in such capacity will oversee and monitor our accounting; financial reporting processes and controls, audits of the financial statements, compliance with legal and regulatory requirements as they relate to financial statements or accounting matters, and the independent registered public accounting firm’s qualifications, independence and performance; and provide the board of directors with reports on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our audit committee is responsible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there are deficiencies in the business management practices of our company, and making recommendations to the board of directors to improve such practices;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to approve certain related party transactions (including transactions in which an office holder has a personal interest and whether such transaction is extraordinary or material under Companies Law) (see “Directors, Senior Management and Employees—Board Practices—Approval of Related Party Transactions under Israeli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approval process for transactions that are ‘non-negligible’ (i.e., transactions with a controlling shareholder that are classified by the audit committee as non-negligible, even though they are not deemed extraordinary transactions), as well as determining which types of transactions would require the approval of the audit committee, optionally based on criteria which may be determined annually in advance by the audit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examining our internal controls and internal auditor’s performance, including whether the internal auditor has sufficient resources and tools to dispose of its responsibilities;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board of directors approves the working plan of the internal auditor, examining such working plan before its submission to the board of directors and proposing amendments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examining the scope of our auditor’s work and compensation and submitting a recommendation with respect thereto to our board of directors or shareholders, depending on which of them is considering the appointment of our auditor;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handling of employees’ complaints as to the management of our business and the protection to be provided to such employees.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may not conduct any discussions or approve any actions requiring its approval (see “Directors, Senior Management and Employees—Board Practices—Approval of Related Party Transactions under Israeli law”), unless at the time of the approval a majority of the committee’s members are present, which majority consists of independent directors under the Companies Law, including at least one external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Stock Market Requirements for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Listing Rules, we are required to maintain an audit committee consisting of at least three members, all of whom are independent and are financially literate and one of whom has accounting or related financial management expertise.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the members of our audit committee are Mr. Yossi Daskal and Mr. Oz Adler, who will serve as external directors, and Ms. Hila Kiron-Revach, who will serve as an independent director, each of whom is “independent,” as such term is defined in under Nasdaq Listing Rules. The members of our audit committee meet the requirements for financial literacy under the Nasdaq Listing Rules. Our board of directors has determined that each member of our audit committee is an audit committee financial expert as defined by the SEC rules and has the requisite financial experience as defined by the Nasdaq Listing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an audit committee charter setting forth among others, the responsibilities of the audit committee consistent with the rules of the SEC and Nasdaq Listing Rules (in addition to the requirements for such committee under the Companies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of any public company must establish a compensation committee. The compensation committee must be comprised of at least three directors, including all of the external directors, who must constitute a majority of the members of the compensation committee. Each compensation committee member that is not an external director must be a director whose compensation does not exceed an amount that may be paid to an external director. The compensation committee is subject to the same Companies Law restrictions as the audit committee as to (a) who may not be a member of the committee and (b) who may not be present during committee deliberations as described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compensation committee are Mr. Yossi Daskal, Mr. Oz Adler and Ms. Hila Kiron-Revach, each of whom is “independent,” as such term is defined under the Nasdaq Listing Rules. Our compensation committee complies with the provisions of the Companies Law, the regulations promulgated thereunder, and our amended and restated articles of association, on all aspects referring to its independence, authorities and practice. Our compensation committee follows home country practice as opposed to complying with the compensation committee membership and charter requirements prescribed under the Nasdaq Listing Rules. Our board of directors has adopted a compensation committee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reviews and recommends to our board of directors, with respect to our executive officers’ and directors’: (1) annual base compensation; (2) annual incentive bonus, including the specific goals and amount; (3) equity compensation; (4) employment agreements, severance arrangements, and change in control agreements and provisions; (5) retirement grants and/or retirement bonuses; and (6) any other benefits, compensation, compensation policies or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of the compensation committee include the recommendation to the company’s board of directors of a policy regarding the terms of engagement of office holders, to which we refer as a compensation policy. Such policy must be adopted by the company’s board of directors, after considering the recommendations of the compensation committee. The compensation policy is then brought for approval by our shareholders, which requires a special majority (see “Directors, Senior Management and Employees—Board Practices—Approval of Related Party Transactions under Israeli law”). Under the Companies Law, the board of directors may adopt the compensation policy if it is not approved by the shareholders, provided that after the shareholders oppose the approval of such policy, the compensation committee and the board of directors revisit the matter and determine that adopting the compensation policy would be in the best interest of the company. Our board has adopted a compensation policy which was approved by our shareholders on March 27,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serve as the basis for decisions concerning the financial terms of employment or engagement of executive officers and directors, including exculpation, insurance, indemnification or any monetary payment or obligation of payment in respect of employment or engagement. The compensation policy must relate to certain factors, including advancement of the company’s objectives, the company’s business and its long-term strategy, and creation of appropriate incentives for executives. It must also consider, among other things, the company’s risk management, size and the nature of its operations. The compensation policy must furthermore consider the following additional factors: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knowledge, skills, expertise and accomplishments of the relevant director or 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or executive’s roles and responsibilities and prior compensation agreements with him or her;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relationship between the cost of the terms of service of an office holder and the average and median compensation of the other employees of the company (including those employed through manpower companies), including the impact of disparities in salary upon work relationships in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of reducing variable compensation at the discretion of the board of directors; and the possibility of setting a limit on the exercise value of non-cash variable compensation;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severance compensation, the period of service of the director or executive, the terms of his or her compensation during such service period, the company’s performance during that period of service, the person’s contribution towards the company’s achievement of its goals and the maximization of its profits, and the circumstances under which the person is leaving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also include the following principles:</w:t>
      </w:r>
    </w:p>
    <w:p>
      <w:pPr>
        <w:pStyle w:val="TextBody"/>
        <w:bidi w:val="0"/>
        <w:spacing w:before="0" w:after="0"/>
        <w:ind w:left="0" w:right="0" w:firstLine="720"/>
        <w:jc w:val="both"/>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170"/>
        <w:gridCol w:w="7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link between variable compensation and long-term performance and measurable criteria;</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relationship between variable and fixed compensation, and the ceiling for the value of variable compensation at the time of its grant;</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tc>
      </w:tr>
    </w:tbl>
    <w:p>
      <w:pPr>
        <w:pStyle w:val="TextBody"/>
        <w:bidi w:val="0"/>
        <w:spacing w:before="0" w:after="0"/>
        <w:ind w:left="1080" w:right="0" w:hanging="36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70"/>
        <w:gridCol w:w="6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holding or vesting period for variable, equity-based compensation;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limits for severance compensation.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also consider appropriate incentives from a long-term perspective.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also responsible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tc>
      </w:tr>
    </w:tbl>
    <w:p>
      <w:pPr>
        <w:pStyle w:val="TextBody"/>
        <w:bidi w:val="0"/>
        <w:spacing w:before="0" w:after="0"/>
        <w:ind w:left="1080" w:right="0" w:hanging="36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to the board of directors periodic updates to the compensation policy;</w:t>
            </w:r>
          </w:p>
        </w:tc>
      </w:tr>
    </w:tbl>
    <w:p>
      <w:pPr>
        <w:pStyle w:val="TextBody"/>
        <w:bidi w:val="0"/>
        <w:spacing w:before="0" w:after="0"/>
        <w:ind w:left="1080" w:right="0" w:hanging="36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implementation of the compensation policy;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the terms of compensation of certain office holders of the company need not be brought to approval of the shareholders; and</w:t>
            </w:r>
          </w:p>
        </w:tc>
      </w:tr>
    </w:tbl>
    <w:p>
      <w:pPr>
        <w:pStyle w:val="TextBody"/>
        <w:bidi w:val="0"/>
        <w:spacing w:before="0" w:after="0"/>
        <w:ind w:left="1080" w:right="0" w:hanging="36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whether to approve the terms of compensation of office holders that require the committee’s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of an Israeli public company must appoint an internal auditor nominated by the audit committee. Our internal auditor is Mrs. Dana Spira, who has been serving as our internal auditor since May 2022. Mrs. Spira is a Certified Public Accountant and holds a B.A. degree in accounting and business and L.L.B law from Reichman University,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of the internal auditor is to examine, among other things, whether a company’s actions comply with the law and proper business procedure. The audit committee is required to oversee the activities, and to assess the performance of the internal auditor as well as to review the internal auditor’s work plan. An internal auditor may not be an interested party or office holder, or a relative of any interested party or office holder, and may not be a member of the company’s independent accounting firm or its representative. The Companies Law defines an interested party as a holder of 5% or more of the outstanding shares or voting rights of a company, any person or entity that has the right to nominate or appoint at least one director or the general manager of the company or any person who serves as a director or as the general manager of a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Remuneration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remuneration of directors is subject to the approval of the compensation committee, thereafter by the board of directors and thereafter, unless exempted under the regulations promulgated under the Companies Law, by the general meeting of the shareholders. External directors are entitled to remuneration (including reimbursement of expenses) subject to the provisions and limitations set forth in the regulations promulgated under the Companies Law. Where the director is also a controlling shareholder, the requirements for approval of transactions with controlling shareholders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service contracts between us, on the one hand, and our directors in their capacity as directors, on the other hand, providing for benefits upon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Fiduciary Duties of Office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imposes a duty of care and a duty of loyalty on all office holders of a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care requires an office holder to act with the level of care with which a reasonable office holder in the same position would have acted under the same circumstances. The duty of care of an office holder includes a duty to use reasonable means to obtain:</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the advisability of a given action brought for his approval or performed by him by virtue of his position;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important information pertaining to these actions.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loyalty of an office holder requires an office holder to act in good faith and for the benefit of the company, and includes a duty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refrain from any conflict of interest between the performance of his duties in the company and his performance of his other duties or personal affairs;</w:t>
            </w:r>
          </w:p>
        </w:tc>
      </w:tr>
    </w:tbl>
    <w:p>
      <w:pPr>
        <w:pStyle w:val="TextBody"/>
        <w:bidi w:val="0"/>
        <w:spacing w:before="0" w:after="0"/>
        <w:ind w:left="1080" w:right="0" w:hanging="36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refrain from any action that is competitive with the company’s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170"/>
        <w:gridCol w:w="94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refrain from exploiting any business opportunity of the company to receive a personal gain for himself or others;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to the company any information or documents relating to the company’s affairs which the office holder has received due to his position as an office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obtain insurance for any of its office holders against the following liabilities incurred due to acts he or she performed as an office holder, if and to the extent provided for in the company’s articles of association: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his or her duty of care to the company or to another person, to the extent such a breach arises out of the negligent conduct of the office holder;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breach of his or her duty of loyalty to the company, provided that the office holder acted in good faith and had reasonable cause to assume that his or her act would not prejudice the company’s interests; and</w:t>
            </w:r>
          </w:p>
        </w:tc>
      </w:tr>
    </w:tbl>
    <w:p>
      <w:pPr>
        <w:pStyle w:val="TextBody"/>
        <w:bidi w:val="0"/>
        <w:spacing w:before="0" w:after="0"/>
        <w:ind w:left="1080" w:right="0" w:hanging="36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imposed upon him or her in favor of another person.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2024 the Compensation Committee of our Board of Directors resolved to approve the renewal of the Company’s directors’ and officers’ insurance policy, for a period of 18 months as of March 31, 2023, of a $7.5 million coverage, and an annual premium not to exceed $246,400 ($369,600 for the 18 months period), pursuant to the applicable regulations under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28, 2022, our board of directors approved the purchase of a run-off insurance policy for directors and officers, which will cover past events. The insurance amount is NIS 18 million (approximately US$ 5.6 million) in aggregate plus reasonable legal defense costs, with Company retention for claims in North America of NIS 90,000 (approximately US$ 28,125) and Company retention for other claims of NIS 18,000 (approximately US$ 5,600). The policy is for seven (7) years as of April 4, 2022, and cost NIS 49,140 (approximately US$ 15,260). The purchase of the run-off director and officer insurance policy was approved by the Company’s shareholders on June 6,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 that a company may indemnify an office holder against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imposed on him or her in favor of another person by any judgment concerning an act performed in his or her capacity as an office holder,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litigation expenses, including attorneys’ fees, expended by the office holder (a) as a result of an investigation or proceeding instituted against him or her by an authority authorized to conduct such investigation or proceeding, provided that (1) no indictment (as defined in the Companies Law) was filed against such office holder as a result of such investigation or proceeding; and (2) no financial liability as a substitute for the criminal proceeding (as defined in the Companies Law) was imposed upon him or her as a result of such investigation or proceeding, or, if such financial liability was imposed, it was imposed with respect to an offense that does not require proof of criminal intent; and (b) in connection with a monetary sanction;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litigation expenses, including attorneys’ fees, expended by the office holder or imposed on him or her by a court: (1) in proceedings that the company institutes, or that another person institutes on the company’s behalf, against him or her; (2) in a criminal proceedings of which he or she was acquitted; or (3) as a result of a conviction for a crime that does not require proof of criminal intent;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an office holder in connection with an Administrative Procedure under the Securities Law, including reasonable litigation expenses and reasonable attorneys’ fees. 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Securities Law.</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Exculpation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 Israeli company may not exculpate an office holder from liability for a breach of his or her duty of loyalty, but may exculpate in advance an office holder from his or her liability to the company, in whole or in part, for damages caused to the company as a result of a breach of his or her duty of care (other than in relation to distributions), but only if a provision authorizing such exculpation is included in its articles of association.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that we may not exculpate or indemnify an office holder nor enter into an insurance contract that would provide coverage for any liability incurred as a result of any of the following: (1) a breach by the office holder of his or her duty of loyalty unless (in the case of indemnity or insurance only, but not exculpation) the office holder acted in good faith and had a reasonable basis to believe that the act would not prejudice us; (2) a breach by the office holder of his or her duty of care if the breach was carried out intentionally or recklessly (as opposed to merely negligently); (3) any act or omission committed with the intent to derive an illegal personal benefit; or (4) any fine, monetary sanction, penalty or forfeit levied against the office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“Directors, Senior Management and Employees—Board Practices—Approval of Related Party Transactions under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permits us to exculpate, indemnify and insure our office holders to the fullest extent permitted or to be permitted by the Companies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and the Companies Law, to the extent that these liabilities are not covered by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Related Party Transactions under Israeli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we may approve an action by an office holder from which the office holder would otherwise have to refrain, as described above, if:</w:t>
      </w:r>
    </w:p>
    <w:p>
      <w:pPr>
        <w:pStyle w:val="TextBody"/>
        <w:bidi w:val="0"/>
        <w:spacing w:before="0" w:after="0"/>
        <w:ind w:left="0" w:right="0" w:firstLine="72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75"/>
        <w:gridCol w:w="170"/>
        <w:gridCol w:w="8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holder acts in good faith and the act or its approval does not cause harm to the company;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holder disclosed the nature of his or her interest in the transaction (including any significant fact or document) to the company at a reasonable time before the company’s approval of such matter.</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Personal Interests of an Office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requires that an office holder disclose to the company, promptly, and, in any event, not later than the board meeting at which the transaction is first discussed, any direct or indirect personal interest that he or she may have and all related material information known to him or her relating to any existing or proposed transaction by the company. If the transaction is an extraordinary transaction, the office holder must also disclose any personal interest held by:</w:t>
      </w:r>
    </w:p>
    <w:p>
      <w:pPr>
        <w:pStyle w:val="TextBody"/>
        <w:bidi w:val="0"/>
        <w:spacing w:before="0" w:after="0"/>
        <w:ind w:left="0" w:right="0" w:firstLine="72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holder’s relatives; or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 which the office holder or his or her relatives holds 5% or more of the shares or voting rights, serves as a director or general manager or has the right to appoint at least one director or the general manager.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 holder is not, however, obliged to disclose a personal interest if it derives solely from the personal interest of his or her relative in a transaction that is not considered an extraordinary transaction. Under the Companies Law, an extraordinary transaction is a transaction:</w:t>
      </w:r>
    </w:p>
    <w:p>
      <w:pPr>
        <w:pStyle w:val="TextBody"/>
        <w:bidi w:val="0"/>
        <w:spacing w:before="0" w:after="0"/>
        <w:ind w:left="0" w:right="0" w:firstLine="72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 the ordinary course of business;</w:t>
            </w:r>
          </w:p>
        </w:tc>
      </w:tr>
    </w:tbl>
    <w:p>
      <w:pPr>
        <w:pStyle w:val="TextBody"/>
        <w:bidi w:val="0"/>
        <w:spacing w:before="0" w:after="0"/>
        <w:ind w:left="1080" w:right="0" w:hanging="36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on market terms; or</w:t>
            </w:r>
          </w:p>
        </w:tc>
      </w:tr>
    </w:tbl>
    <w:p>
      <w:pPr>
        <w:pStyle w:val="TextBody"/>
        <w:bidi w:val="0"/>
        <w:spacing w:before="0" w:after="0"/>
        <w:ind w:left="1080" w:right="0" w:hanging="36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170"/>
        <w:gridCol w:w="7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is likely to have a material effect on the company’s profitability, assets or liabilities.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does not specify to whom within us nor the manner in which required disclosures are to be made. We require our office holders to make such disclosures to our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once an office holder complies with the above disclosure requirement, the board of directors may approve a transaction between the company and an office holder, or a third party in which an office holder has a personal interest, unless the articles of association provide otherwise and provided that the transaction is in the company’s interest. If the transaction is an extraordinary transaction in which an office holder has a personal interest, first the audit committee and then the board of directors, in that order, must approve the transaction. Under specific circumstances, shareholder approval may also be required. Generally, a person who has a personal interest in a matter which is considered at a meeting of the board of directors or the audit committee may not be present at such a meeting unless the chairman of the audit committee or board of directors (as applicable) determines that he or she should be present in order to present the transaction that is subject to approval. A director who has a personal interest in a transaction, which is considered at a meeting of the board of directors or the audit committee, may not be present at this meeting or vote on this matter, unless a majority of the members of the board of directors or the audit committee, as the case may be, has a personal interest. If a majority of the board of directors has a personal interest, then shareholder approval is generally also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Personal Interests of a Controlling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disclosure requirements that apply to an office holder also apply to a controlling shareholder of a public company. Extraordinary transactions with a controlling shareholder or in which a controlling shareholder has a personal interest, including a private placement in which a controlling shareholder has a personal interest, as well as transactions for the provision of services whether directly or indirectly by a controlling shareholder or his or her relative, or a company such controlling shareholder controls, and transactions concerning the terms of engagement and compensation of a controlling shareholder or a controlling shareholder’s relative, whether as an office holder or an employee, require the approval of the audit committee or the compensation committee, as the case may be, the board of directors and a majority of the shares voted by the shareholders of the company participating and voting on the matter in a shareholders’ meeting. In addition, the shareholder approval must fulfill one of the following requirements: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 majority of the shares held by shareholders who have no personal interest in the transaction and are voting at the meeting must be voted in favor of approving the transaction, excluding abstentions; 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voted by shareholders who have no personal interest in the transaction who vote against the transaction represent no more than 2% of the voting rights in the company.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extraordinary transaction with a controlling shareholder or in which a controlling shareholder has a personal interest with a term of more than three years requires the abovementioned approval every three years; however, such transactions not involving the receipt of services or compensation can be approved for a longer term, provided that the audit committee determines that such longer term is reasonable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Approval of the Compensation of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w:t>
      </w:r>
      <w:r>
        <w:rPr>
          <w:rFonts w:ascii="Times New Roman;Times;Serif" w:hAnsi="Times New Roman;Times;Serif"/>
          <w:b w:val="false"/>
          <w:i w:val="false"/>
          <w:caps w:val="false"/>
          <w:smallCaps w:val="false"/>
          <w:sz w:val="20"/>
        </w:rPr>
        <w:t>. Under the Companies Law, the compensation of our directors requires the approval of our compensation committee, the subsequent approval of the board of directors and, unless exempted under the regulations promulgated under the Companies Law, the approval of the general meeting of our shareholders. If the compensation of our directors is inconsistent with our stated compensation policy, then, provided that those provisions that must be included in the compensation policy according to the Companies Law have been considered by the compensation committee and board of directors, shareholder approval by a special majority will be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Executive officers other than the chief executive officer.</w:t>
      </w:r>
      <w:r>
        <w:rPr>
          <w:rFonts w:ascii="Times New Roman;Times;Serif" w:hAnsi="Times New Roman;Times;Serif"/>
          <w:b w:val="false"/>
          <w:i w:val="false"/>
          <w:caps w:val="false"/>
          <w:smallCaps w:val="false"/>
          <w:sz w:val="20"/>
        </w:rPr>
        <w:t> The Companies Law requires the approval of the compensation of a public company’s executive officers (other than the chief executive officer) in the following order: (i) the compensation committee, (ii) the company’s board of directors, and (iii) only if such compensation arrangement is inconsistent with the company’s stated compensation policy, the company’s shareholders by a special majority. However, if the shareholders of the company do not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provides detailed reasons for their decision.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Chief executive officer.</w:t>
      </w:r>
      <w:r>
        <w:rPr>
          <w:rFonts w:ascii="Times New Roman;Times;Serif" w:hAnsi="Times New Roman;Times;Serif"/>
          <w:b w:val="false"/>
          <w:i w:val="false"/>
          <w:caps w:val="false"/>
          <w:smallCaps w:val="false"/>
          <w:sz w:val="20"/>
        </w:rPr>
        <w:t> Under the Companies Law, the compensation of a public company’s chief executive officer is required to be approved by: (i) the company’s compensation committee; (ii) the company’s board of directors, and (iii) the company’s shareholders by a special majority.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provides detailed reasons for their decision. In addition, the compensation committee may exempt the engagement terms of a candidate to serve as the chief executive officer from shareholders’ approval, if the compensation committee determines that the compensation arrangement is consistent with the company’s stated compensation policy, that the chief executive officer did not have a prior business relationship with the company or a controlling shareholder of the company, and that subjecting the approval to a shareholder vote would impede the company’s ability to attain the candidate to serve as the company’s chief executive officer (and provide detailed reasons for the latter).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each of the compensation committee and the board of directors, with regard to the office holders and directors above, must be in accordance with the company’s stated compensation policy; however, under special circumstances, the compensation committee and the board of directors may approve compensation terms of a chief executive officer that are inconsistent with the company’s compensation policy provided that they have considered those provisions that must be included in the compensation policy according to the Companies Law and that shareholder approval was obtained by a special majority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Duties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shareholder has a duty to refrain from abusing its power in the company and to act in good faith and in an acceptable manner in exercising its rights and performing its obligations toward the company and other shareholders, including, among other things, in voting at general meetings of shareholders (and at shareholder class meetings) on the following matters:</w:t>
      </w:r>
    </w:p>
    <w:p>
      <w:pPr>
        <w:pStyle w:val="TextBody"/>
        <w:bidi w:val="0"/>
        <w:spacing w:before="0" w:after="0"/>
        <w:ind w:left="0" w:right="0" w:firstLine="72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the articles of association;</w:t>
            </w:r>
          </w:p>
        </w:tc>
      </w:tr>
    </w:tbl>
    <w:p>
      <w:pPr>
        <w:pStyle w:val="TextBody"/>
        <w:bidi w:val="0"/>
        <w:spacing w:before="0" w:after="0"/>
        <w:ind w:left="1080" w:right="0" w:hanging="36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70"/>
        <w:gridCol w:w="4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the company’s authorized share capital;</w:t>
            </w:r>
          </w:p>
        </w:tc>
      </w:tr>
    </w:tbl>
    <w:p>
      <w:pPr>
        <w:pStyle w:val="TextBody"/>
        <w:bidi w:val="0"/>
        <w:spacing w:before="0" w:after="0"/>
        <w:ind w:left="1080" w:right="0" w:hanging="36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75"/>
        <w:gridCol w:w="170"/>
        <w:gridCol w:w="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and</w:t>
            </w:r>
          </w:p>
        </w:tc>
      </w:tr>
    </w:tbl>
    <w:p>
      <w:pPr>
        <w:pStyle w:val="TextBody"/>
        <w:bidi w:val="0"/>
        <w:spacing w:before="0" w:after="0"/>
        <w:ind w:left="1080" w:right="0" w:hanging="36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75"/>
        <w:gridCol w:w="170"/>
        <w:gridCol w:w="8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related party transactions and acts of office holders that require shareholder approval.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also has a general duty to refrain from oppressing other shareholders. The remedies generally available upon a breach of contract will also apply to a breach of the above mentioned duties, and in the event of oppression of other shareholders, additional remedies are available to the injured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controlling shareholder, any shareholder that knows that its vote can determine the outcome of a shareholder vote and any shareholder that, under a company’s articles of association, has the power to appoint or prevent the appointment of an office holder, or has another power with respect to a company,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any controlling shareholder as defined by the Companies Law. See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4.B. Business Overview—Employees.”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E. 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7.A. Major Shareholders”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one equity incentive plan, or the Option Plan. As of March 28, 2024, the number of ordinary shares reserved for issuance under the Option Plan was 288,745. As of March 28, 2024, 206,539 options to purchase 206,539 ordinary shares were issued and outstanding, of which 108,498 options were vested as of that date, with an exercise price approximately $14.80-49.11 per share. Our board may, at any time during the term of the Option Plan increase the number of shares available for grant under the Option Plan subject to any required approval of the our shareholders of such increase if so required under applicable laws and/or our incorporation documents and/or any shareholders agreement, as shall be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Option Plan was adopted by our board of directors on January 31, 2017, and awards may be granted under the Option Plan until January 31, 2027. Our Option Plan was last amended on March 28, 2024. Our employees, directors, officers, and services providers, including those who are our controlling shareholders (if any), as well as those of our affiliated companies, are eligible to participate in this Option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Option Plan is administered by our board of directors, regarding the granting of options and the terms of option grants, including exercise price, method of payment, vesting schedule, acceleration of vesting and the other matters necessary in the administration of this Option Plan. Eligible Israeli employees, officers and directors, would qualify for provisions of Section 102(b)(2) of the Tax Ordinance. Pursuant to such Section 102(b)(2), qualifying options and shares issued upon exercise of such options are held in trust and registered in the name of a trustee selected by the board of directors. The trustee may not release these options or shares to the holders thereof for two years from the date of the registration of the options in the name of the trustee, unless the beneficiary grantee waives the tax benefits under Section 102, as detailed below. Under Section 102, any tax payable by an employee from the grant or exercise of the options is deferred until the transfer of the options or ordinary shares by the trustee to the employee or upon the sale of the options or ordinary shares, and gains may qualify to be taxed as capital gains at a rate equal to 25%, subject to compliance with specified conditions. Our Israeli non-employee service providers and controlling shareholders may only be granted options under Section 3(9) of the Tax Ordinance, which does not provide for similar tax benefits. The Option Plan also permits granting options to Israeli grantees who do not qualify under Section 102(b)(2).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default, our Option Plan provides that upon termination of employment for any reason, other than in the event of death or disability, all unvested options will expire and all vested options will generally be exercisable for one month following such termination, if we initiate such termination, or two weeks following such termination, if an employee initiates such termination, or such other period as determined by the Option Plan administrator, subject to the terms of the Option Plan and the governing option agreement. Notwithstanding the foregoing, in the event the employment is terminated for cause (including, inter alia, a breach of confidentiality or non-compete obligations to us, and commission of an act involving moral turpitude or an act that causes harm to us) all options granted to such employee, whether vested or unvested, will not be exercisable and will terminate on the date of the termination of his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employment due to death or disability, all the options vested at the time of termination will generally be exercisable for six months, or such other period as determined by the Option Plan administrator, subject to the terms of the Option Plan and the governing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A. Major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our ordinary shares as of March 28, 2024 by:</w:t>
      </w:r>
    </w:p>
    <w:p>
      <w:pPr>
        <w:pStyle w:val="TextBody"/>
        <w:bidi w:val="0"/>
        <w:spacing w:before="0" w:after="0"/>
        <w:ind w:left="144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to us to be the beneficial owner of more than 5% of our outstanding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ordinary shares. Ordinary shares issuable under share options or warrants that are exercisable within 60 days after March 28, 2024 are deemed outstanding for the purpose of computing the percentage ownership of the person holding the options or warrants but are not deemed outstanding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Rail Vision Ltd., 15 Ha’Tidhar St., Ra’anana, 4366517 Israel.</w:t>
      </w:r>
    </w:p>
    <w:p>
      <w:pPr>
        <w:pStyle w:val="TextBody"/>
        <w:bidi w:val="0"/>
        <w:spacing w:before="0" w:after="0"/>
        <w:ind w:left="0" w:right="0" w:hanging="0"/>
        <w:jc w:val="left"/>
        <w:rPr>
          <w:caps w:val="false"/>
          <w:smallCaps w:val="false"/>
        </w:rPr>
      </w:pPr>
      <w:r>
        <w:rPr>
          <w:caps w:val="false"/>
          <w:smallCaps w:val="false"/>
        </w:rPr>
        <w:t> </w:t>
      </w:r>
    </w:p>
    <w:tbl>
      <w:tblPr>
        <w:tblW w:w="9140" w:type="dxa"/>
        <w:jc w:val="left"/>
        <w:tblInd w:w="0" w:type="dxa"/>
        <w:tblLayout w:type="fixed"/>
        <w:tblCellMar>
          <w:top w:w="0" w:type="dxa"/>
          <w:left w:w="0" w:type="dxa"/>
          <w:bottom w:w="0" w:type="dxa"/>
          <w:right w:w="0" w:type="dxa"/>
        </w:tblCellMar>
      </w:tblPr>
      <w:tblGrid>
        <w:gridCol w:w="6200"/>
        <w:gridCol w:w="60"/>
        <w:gridCol w:w="79"/>
        <w:gridCol w:w="1306"/>
        <w:gridCol w:w="60"/>
        <w:gridCol w:w="60"/>
        <w:gridCol w:w="110"/>
        <w:gridCol w:w="1035"/>
        <w:gridCol w:w="230"/>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 of Shares</w:t>
              <w:br/>
              <w:t>Beneficially</w:t>
              <w:b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br/>
              <w:t>Owned</w:t>
            </w:r>
          </w:p>
        </w:tc>
        <w:tc>
          <w:tcPr>
            <w:tcW w:w="230"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b/>
              </w:rPr>
            </w:pPr>
            <w:r>
              <w:rPr>
                <w:b/>
              </w:rPr>
              <w:t>Holders of more than 5% of our voting securities:</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Knorr-Bremse (1)</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1,718,539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12.97</w:t>
            </w:r>
          </w:p>
        </w:tc>
        <w:tc>
          <w:tcPr>
            <w:tcW w:w="230" w:type="dxa"/>
            <w:tcBorders/>
            <w:shd w:fill="CCEEFF" w:val="clear"/>
            <w:vAlign w:val="center"/>
          </w:tcPr>
          <w:p>
            <w:pPr>
              <w:pStyle w:val="TableContents"/>
              <w:bidi w:val="0"/>
              <w:spacing w:before="0" w:after="283"/>
              <w:jc w:val="left"/>
              <w:rPr/>
            </w:pPr>
            <w:r>
              <w:rPr/>
              <w:t>%</w:t>
            </w:r>
          </w:p>
        </w:tc>
      </w:tr>
      <w:tr>
        <w:trPr/>
        <w:tc>
          <w:tcPr>
            <w:tcW w:w="6200" w:type="dxa"/>
            <w:tcBorders/>
            <w:vAlign w:val="center"/>
          </w:tcPr>
          <w:p>
            <w:pPr>
              <w:pStyle w:val="TableContents"/>
              <w:bidi w:val="0"/>
              <w:spacing w:before="0" w:after="283"/>
              <w:jc w:val="left"/>
              <w:rPr>
                <w:b/>
              </w:rPr>
            </w:pPr>
            <w:r>
              <w:rPr>
                <w:b/>
              </w:rPr>
              <w:t>Directors and senior management who are not 5% holders: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Shahar Hania (2)</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76,140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Ofer Naveh(3)</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17,293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Zachi Bar-Yehoshua (4)</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Eli Yoresh* (5)</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3,771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Ofer Grisaro (6)</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Amit Klir (7)</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2,604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Ariel Dor*</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Yossi Daskal* (8)</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1,664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Hila Kiron Revach*</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Oz Adler* (9)</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1,664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Mark Cleobury*</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b/>
              </w:rPr>
            </w:pPr>
            <w:r>
              <w:rPr>
                <w:b/>
              </w:rPr>
              <w:t>All directors and senior management as a group (11 persons)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right"/>
              <w:rPr/>
            </w:pPr>
            <w:r>
              <w:rPr/>
              <w:t>59,570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0.87</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245"/>
        <w:gridCol w:w="705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director of the Company.</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beneficial ownership of less than 1% of the total ordinary shares outstanding.</w:t>
            </w:r>
          </w:p>
        </w:tc>
      </w:tr>
    </w:tbl>
    <w:p>
      <w:pPr>
        <w:pStyle w:val="TextBody"/>
        <w:bidi w:val="0"/>
        <w:spacing w:before="0" w:after="0"/>
        <w:ind w:left="0" w:right="0" w:firstLine="45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1,149,474 ordinary shares and (ii) 569,065 warrants to purchase 569,065 ordinary shares. The shareholder is Knorr-Bremse Systeme für Schienenfahrzeuge GmbH, which is a 100% subsidiary of Knorr-Bremse AG which is a German company publicly traded on the Frankfurt Stock Exchange. As of January 1, 2023, Marc Llistosella is the chief executive officer of Knorr-Bremse AG.</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50,820 ordinary shares, and (ii) 25,320 options vested within 60 days, exercisable at an exercise price of $14.80 and expiring in January 2028, October 2030, May 2032 and October 2033. Does not include options to purchase 45,801, ordinary shares exercisable at $14.80 per share and expiring in May 2032 and October 2033, that vest in more than 60 days from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17,293 options vested within 60 days, exercisable at an exercise price of $14.80 and expiring in January 2028, January 2030 and May 2032. Does not include options to purchase 5,229 ordinary shares exercisable at $14.80 per share and expiring in May 2032, that vest in more than 60 days from the date hereof.</w:t>
            </w:r>
          </w:p>
        </w:tc>
      </w:tr>
      <w:tr>
        <w:trPr/>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4,650 options vested within 60 days, exercisable at an exercise price of $14.80 and expiring in January 2028, January 2030 and September 2032. Does not include options to purchase 251 ordinary shares exercisable at $14.80 per share and expiring in September 2032, that vest in more than 60 days from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3,771 options vested within 60 days, exercisable at an exercise price of $14.80 and expiring in January 2028 and May 2032. Does not include options to purchase 3,328 ordinary shares exercisable at $14.80 per share and expiring in May 2032, that vest in more than 60 days from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2,604 options vested within 60 days, exercisable at an exercise price of $14.80 and expiring in September 2032. Does not include options to purchase 3,646 ordinary shares exercisable at $14.80 per share and expiring in September 2032, that vest in more than 60 days from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2,604 options vested within 60 days, exercisable at an exercise price of $14.80 and expiring in September 2032. Does not include options to purchase 3,646 ordinary shares exercisable at $14.80 per share and expiring in September 2032, that vest in more than 60 days from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1,664 options vested within 60 days, exercisable at an exercise price of $14.80 and expiring in May 2032. Does not include options to purchase 3,328 ordinary shares exercisable at $14.80 per share and expiring in May 2032, that vest in more than 60 days from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1,664 options vested within 60 days, exercisable at an exercise price of $14.80 and expiring in June 2032. Does not include options to purchase 3,328 ordinary shares exercisable at $14.80 per share and expiring in June 2032, that vest in more than 60 days from the date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Ownership of Major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other than as disclosed in the table above, our other filings with the SEC and this Annual Report, there has been no significant change in the percentage ownership held by any major shareholder since January 1, 2021. The major shareholders listed above do not have voting rights with respect to their ordinary shares that are different from the voting rights of other holders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Record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21, 2024, there were 75 holders of record of our ordinary shares, out of which 24 holders of record had a registered address in the United States. The number of record holders is not representative of the number of beneficial holders of our ordinary shares, as 88.802% of our outstanding ordinary shares are recorded in the name of Cede &amp; Co. as nominee for the Depository Trust Company, in whose name all shares held in “street name” are held in the United States. Except where otherwise indicated, we believe, based on information furnished to us by such owners, that the beneficial owners of the Ordinary Shares listed below have sole investment and voting power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controlled by another corporation, by any foreign government or by any natural or legal persons. There are no arrangements known to us which would result in a change in control of our company at a subsequent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B. Related Party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material terms of those transactions with related parties to which we are party since January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written employment or services agreements with each of our executive officers. All of these agreements contain customary provisions regarding noncompetition, confidentiality of information and assignment of inventions. However, the enforceability of the noncompetition provisions may be limited under applicable law. In addition, we have entered into agreements with each executive officer and director pursuant to which we have agreed to indemnify each of them up to a certain amount and to the extent that these liabilities are not covered by directors and officers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granted options to purchase our ordinary shares to certain of our officers and directors. Such option agreements may contain acceleration provisions upon certain merger, acquisition, or change of control transactions. We describe our Option Plan under “Item 6.E.—Directors, Senior Management and Employees—Share Incentive Plan.” If the relationship between us and an executive officer or a director is terminated, except for cause (as defined in the various Option Plan agreements), options that are vested will generally remain exercisable for one month following the date of such termination if we initiate such termination or two weeks following the date of such termination, if an executive officer or a director initiates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(January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2024, we entered into the January 2024 PIPE, Units, consisting of (i) one of our ordinary shares and/or pre-funded warrants to purchase our ordinary shares and (ii) one and a half warrants to purchase our ordinary shares to the Investors, of a minimum of $2.5 million of Units and up to a maximum of $3 million of Units. The January 2024 PIPE closed on January 31, 2024 following the execution of definitive documentation between us and the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January 2024 PIPE, the Investors purchased $3.0 million of Units consisting of (A) (i) 1,651,458 of ordinary shares and/or (ii) January 2024 PIPE Pre-Funded Warrants to purchase up to 1,394,999 ordinary shares and (B) January 2024 PIPE Ordinary Share Warrants to purchase up to 4,569,688 ordinary shares. The purchase price per Unit is $0.98475. The January 2024 PIPE Pre-Funded Warrants are immediately exercisable at an exercise price of $0.0001 per ordinary share, subject to certain adjustments and certain anti-dilution protection set forth therein, and will not expire until exercised in full. The January 2024 PIPE Ordinary Share Warrants are exercisable upon issuance at an exercise price of $0.98475 per ordinary share, subject to certain adjustments and certain anti-dilution protection set forth therein, and have a 5.5-year term from the issuance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January 2024 PIPE, we exercised our conversion right pursuant to the Facility Agreement to convert $500,000 of the Credit Facility as a portion of the January 2024 Conversion Loan Amount. Following such conversion, we issued to the Lender (i) the Facility Conversion Pre-Funded Warrant to purchase up to 507,743 ordinary shares and (ii) the Facility Conversion Ordinary Share Warrant to purchase up to 761,615 ordinary shares. The Facility Conversion Pre-Funded Warrant and the Facility Conversion Common Warrant are in substantially the same form and on substantially the same terms as the January 2024 PIPE Pre-Funded Warrant and January 2024 PIPE Ordinary Share Warrant,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1,394,999 January 2024 PIPE Pre-Funded Warrants, 507,743 Facility Conversion Pre-Funded Warrant, 761,615 Facility Conversion Common Warrant and 4,269,688 January 2024 PIPE Warrants have been exercised resulting in gross proceeds of approximately $5.0 million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of Credit Facility Agreement and Issuance of Warrant (January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9, 2024, we entered into the Facility Agreement for a $6 million the Credit Facility and an additional amount up to $3 million, subject to certain conditions, of Additional Loans, with the Lender, who was also an Investor in the January 2024 PIPE. The Credit Facility, which had an initial term of 10 months, accrued interest at a rate of 8% per annum, and the first payment of $1.5 million was drawn down upon execution of the Facility Agreement and the remaining amount were able to be drawn down in eight equal installments as of March 7, 2024. As detailed below, the Facility Agreement terminated on March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Pursuant to the Facility Agreement, the Lender’s financing obligations terminated in the event we drew down $7.5 million or more pursuant to an alternate credit facility or closes one or more equity financing transaction in an aggregate amount of at least $5 million. As of March 1, 2024, we had received aggregate gross proceeds of more than $5 million from the purchase of Units in the January 2024 Private Placement, the exercise of warrants issued in the January 2024 Private Placement and our exercise of the Conversion Right in the amount of $500,000. As a result, the Lender’s financing obligations have terminated pursuant to the terms of the Facility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close one or more equity financing transactions in an aggregate amount of at least $5 million (including the conversion of the Credit Facility), we had the right to convert into ordinary share up to $1.5 million, including accrued interest, of a loan extended or to be extended to us by the Lender, or the January 2024 Conversion Loan Amount, in connection with and in the framework of a financing transaction of ours on the date that follows the date upon which we notified the Lender of such financing transaction, which conversion will occur upon the same terms. As of the date hereof, we had converted $500,000 of the Credit Facility as a portion of the January 2024 Conversion Loan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Facility Agreement, we issued a warrant, or the January 2024 Facility Warrant, to the Lender to purchase 2,419,354 of our ordinary shares representing an aggregate exercise amount of $7.5 million, with a per share exercise price of $3.10, subject to certain adjustments and certain anti-dilution protection, representing a 150% premium of the closing share price of our ordinary shares on January 5, 2024. The January 2024 Facility Warrant is immediately exercisable upon issuance and has a term of 5 years from the date of issuance. Following the closing of the January 2024 PIPE, the exercise price of the January 2024 Facility Warrant was adjusted to $0.408 which is the effective price per ordinary share in the January 2024 PIPE, or the January 2024 Facility Warrant Adjusted Exercise Price, and the number of ordinary shares issuable upon the exercise of the January 2024 Facility Warrant was also adjusted to a total 18,382,353, or the January 2024 Facility Warrant Adjusted Shares, such that the product of the January 2024 Facility Warrant Adjusted Exercise Price and the January 2024 Facility Warrant Adjusted Shares is equal to an aggregate exercise amount of $7.5 million. As of the date of this Annual Report, 920,000 January 2024 Facility Warrants have been exercised resulting in gross proceeds of approximately $0.375 million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the Credit Facility, each of Shmuel Donnerstein, Inbal Kreiss and Keren Aslan tendered their resignations from our board of directors, and our board of directors appointed Amitay Weiss and Hila Kiron-Revach to our board of directors, to serve until our next annual general meeting of shareholders. On March 12, 2024, Mr. Weiss resigned from our board of directors. Mr. Weiss’s resignation was not due to any disagreement with us or management. Also on March 12, 2024, our board of directors appointed Mr. Ariel Dor to our board of directors to serve until our next annual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Knorr-Bremse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2022, we issued to Knorr-Bremse, a total of 10,256 Preferred A shares at a price of $195 per share, after we called an amount of $2,000,000 out of the option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completion of the IPO on April 4, 2022, 61,538 Preferred A shares were automatically converted into 2,707,672 ordinary shares (after giving effect to the issuance of 10,256 Preferred A shares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we reached a co-operation and business development agreement with Knorr-Bremse India Pvt. Ltd., in which Knorr-Bremse India Pvt. Ltd. provided a joint proposal to a tender published by the Ministry of Railways of the Government of India for obstacle detection systems for trains in the RV2000 system market segment. As part of the joint bid Knorr-Bremse India Pvt. Ltd. provided a guarantee of $27,000 to secure our proposal. On January 10, 2022, Knorr-Bremse informed us they did not receive the tender. However, the parties intend to collaborate on future projects. See “Business – Commercial Agreements” for additional commercial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the KB Private Placement, we entered into a definitive securities purchase agreement for the purchase and sale of an aggregate of 493,421 ordinary shares and the KB Warrants, 5-year term common warrants to purchase an aggregate of 493,421 ordinary shares, at a purchase price of $6.08 per unit, to Knorr-Bremse. The KB Warrants are exercisable at $6.72 per ordinary share. The KB Private Placement closed on June 21, 2023, following approval of such transaction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we entered into a SAFE with two of our current shareholders providing for financing in the aggregate amount of $1,000,000 (Knorr-Bremse in the amount of $714,286 and Foresight in the amount of $285,714) which was subsequently amended in March 2022. Upon our initial public offering on April 4, 2022, the SAFE converted into an aggregate of 242,131 ordinary shares and warrants to purchase 242,131 ordinary shares. The warrants issued have the same terms as the warrants issued in our initial public offering except that such warrants shall be unregistered and shall not be tradeable.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do business with other companies affiliated with our principal shareholders, as described above. We believe that all such arrangements have been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A. Statements and Other Financial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4.B. Business Overview—Legal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and do not anticipate paying any cash dividends in the foreseeable future. However, 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will provide that dividend distributions may be determined by our board of directors.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the distribution of dividends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dividends may be subject to Israeli 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 w:name="a_038"/>
      <w:bookmarkEnd w:id="39"/>
      <w:r>
        <w:rPr>
          <w:rFonts w:ascii="Times New Roman;Times;Serif" w:hAnsi="Times New Roman;Times;Serif"/>
          <w:b/>
          <w:i w:val="false"/>
          <w:caps w:val="false"/>
          <w:smallCaps w:val="false"/>
          <w:sz w:val="20"/>
        </w:rPr>
        <w:t>B. Significant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otherwise described in this Annual Report on Form 20-F and as set forth below, no significant change has occurred in our operations since the date of our financial statements included in this Annual Report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 w:name="a_039"/>
      <w:bookmarkEnd w:id="40"/>
      <w:r>
        <w:rPr>
          <w:rFonts w:ascii="Times New Roman;Times;Serif" w:hAnsi="Times New Roman;Times;Serif"/>
          <w:b/>
          <w:i w:val="false"/>
          <w:caps w:val="false"/>
          <w:smallCaps w:val="false"/>
          <w:sz w:val="20"/>
        </w:rPr>
        <w:t>A. Offer and Listing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2022, our ordinary shares and warrants commenced trading on the Nasdaq Capital Market under the symbols “RVSN,” and “RVSNW,”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 w:name="a_040"/>
      <w:bookmarkEnd w:id="41"/>
      <w:r>
        <w:rPr>
          <w:rFonts w:ascii="Times New Roman;Times;Serif" w:hAnsi="Times New Roman;Times;Serif"/>
          <w:b/>
          <w:i w:val="false"/>
          <w:caps w:val="false"/>
          <w:smallCaps w:val="false"/>
          <w:sz w:val="20"/>
        </w:rPr>
        <w:t>B.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 w:name="a_041"/>
      <w:bookmarkEnd w:id="42"/>
      <w:r>
        <w:rPr>
          <w:rFonts w:ascii="Times New Roman;Times;Serif" w:hAnsi="Times New Roman;Times;Serif"/>
          <w:b/>
          <w:i w:val="false"/>
          <w:caps w:val="false"/>
          <w:smallCaps w:val="false"/>
          <w:sz w:val="20"/>
        </w:rPr>
        <w:t>C.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 w:name="a_042"/>
      <w:bookmarkEnd w:id="43"/>
      <w:r>
        <w:rPr>
          <w:rFonts w:ascii="Times New Roman;Times;Serif" w:hAnsi="Times New Roman;Times;Serif"/>
          <w:b/>
          <w:i w:val="false"/>
          <w:caps w:val="false"/>
          <w:smallCaps w:val="false"/>
          <w:sz w:val="20"/>
        </w:rPr>
        <w:t>D.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 w:name="a_043"/>
      <w:bookmarkEnd w:id="44"/>
      <w:r>
        <w:rPr>
          <w:rFonts w:ascii="Times New Roman;Times;Serif" w:hAnsi="Times New Roman;Times;Serif"/>
          <w:b/>
          <w:i w:val="false"/>
          <w:caps w:val="false"/>
          <w:smallCaps w:val="false"/>
          <w:sz w:val="20"/>
        </w:rPr>
        <w:t>E. 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 w:name="a_044"/>
      <w:bookmarkEnd w:id="45"/>
      <w:r>
        <w:rPr>
          <w:rFonts w:ascii="Times New Roman;Times;Serif" w:hAnsi="Times New Roman;Times;Serif"/>
          <w:b/>
          <w:i w:val="false"/>
          <w:caps w:val="false"/>
          <w:smallCaps w:val="false"/>
          <w:sz w:val="20"/>
        </w:rPr>
        <w:t>F. Expenses of the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 w:name="a_045"/>
      <w:bookmarkEnd w:id="46"/>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 w:name="a_046"/>
      <w:bookmarkEnd w:id="47"/>
      <w:r>
        <w:rPr>
          <w:rFonts w:ascii="Times New Roman;Times;Serif" w:hAnsi="Times New Roman;Times;Serif"/>
          <w:b/>
          <w:i w:val="false"/>
          <w:caps w:val="false"/>
          <w:smallCaps w:val="false"/>
          <w:sz w:val="20"/>
        </w:rPr>
        <w:t>A.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 w:name="a_047"/>
      <w:bookmarkEnd w:id="48"/>
      <w:r>
        <w:rPr>
          <w:rFonts w:ascii="Times New Roman;Times;Serif" w:hAnsi="Times New Roman;Times;Serif"/>
          <w:b/>
          <w:i w:val="false"/>
          <w:caps w:val="false"/>
          <w:smallCaps w:val="false"/>
          <w:sz w:val="20"/>
        </w:rPr>
        <w:t>B.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our Amended and Restated Articles of Association is attached as Exhibit 1.1 to this Annual Report. Other than as disclosed below, the information called for by this Item is set forth in Exhibit 2.1 to this Annual Report and is incorporated by reference into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 w:name="a_048"/>
      <w:bookmarkEnd w:id="49"/>
      <w:r>
        <w:rPr>
          <w:rFonts w:ascii="Times New Roman;Times;Serif" w:hAnsi="Times New Roman;Times;Serif"/>
          <w:b/>
          <w:i w:val="false"/>
          <w:caps w:val="false"/>
          <w:smallCaps w:val="false"/>
          <w:sz w:val="20"/>
        </w:rPr>
        <w:t>C. Material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Our Company,” Item 7B “Major Shareholders and Related Party Transactions - Related Party Transactions” or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 w:name="a_049"/>
      <w:bookmarkEnd w:id="50"/>
      <w:r>
        <w:rPr>
          <w:rFonts w:ascii="Times New Roman;Times;Serif" w:hAnsi="Times New Roman;Times;Serif"/>
          <w:b/>
          <w:i w:val="false"/>
          <w:caps w:val="false"/>
          <w:smallCaps w:val="false"/>
          <w:sz w:val="20"/>
        </w:rPr>
        <w:t>D. Exchange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 w:name="a_050"/>
      <w:bookmarkEnd w:id="51"/>
      <w:r>
        <w:rPr>
          <w:rFonts w:ascii="Times New Roman;Times;Serif" w:hAnsi="Times New Roman;Times;Serif"/>
          <w:b/>
          <w:i w:val="false"/>
          <w:caps w:val="false"/>
          <w:smallCaps w:val="false"/>
          <w:sz w:val="20"/>
        </w:rPr>
        <w:t>E.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ISRAELI TAX CONSIDERATIONS AND GOVERNMENT PROGRAMS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the material Israeli tax laws applicable to us and certain Israeli Government programs. The following also contains a discussion of material Israeli tax consequences concerning the ownership and disposition of our ordinary shares purchased by investors in this offering. To the extent that the discussion is based on new tax legislation which has not been subject to judicial or administrative interpretation, there can be no assurance that the tax authorities will accept the views expressed in this discussion. This summary is based on laws and regulations in effect as of the date hereof, and is not intended, and should not be taken, as legal or professional tax advice and is not exhaustive of all possible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Corporate Tax Structure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resident companies are generally subject to corporate tax. The current corporate tax rate, as from 2018 is 23% However, the effective tax rate payable by a company that derives income from a Preferred Enterprise (as discussed below) may be considerably 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 derived by an Israeli resident company are generally subject to tax at the prevailing corporate tax rate. Under Israeli tax legislation, a corporation will be considered as an “Israeli resident company” if it meets one of the following: (i) it was incorporated in Israel; or (ii) the control and management of its business are exercised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 for the Encouragement of Industry (Taxes) - 1969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for the Encouragement of Industry (Taxes) - 1969, generally referred to as the Industry Encouragement Law, provides several tax benefits for “Industrial Companies.”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Encouragement Law defines an “Industrial Company” as a company incorporated in, and resident of Israel, at least 90% of the income of which, in a given tax year, exclusive of income from specified government loans, capital gains, interest and dividends which are not classified for such company as business income, is derived from an industrial enterprise owned by it. In general, an “Industrial enterprise” is defined as an enterprise whose major activity in a given tax year is industrial production.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corporate tax benefits, among others, are available to Industrial Companies: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the cost of purchased a patent, rights to use a patent, and know-how, which are used for the development or promotion of the Industrial Enterprise, over an eight-year period and certain other intangible property rights (other than goodwill), commencing on the year in which such rights were first exercised;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limited conditions, an election to file consolidated tax returns with related Israeli Industrial Companies;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straight-line deduction of expenses related to a public offering over a three–year period commencing in the year of offering.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for benefits under the Industry Encouragement Law is not contingent upon approval of any governmental authority. There is no assurance that we qualify as an Industrial Company or that the benefits described above will be available in the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Encouragement of Research, Development and Technological Innovation in the Industry Law-1984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Encouragement of Research, Development and Technological Innovation in the Industry Law-1984, or the Innovation Law, and its related regulations, research and development programs which meet specified criteria and are approved by the Israeli Innovation Authority, or the IIA, are eligible for grants of up to 50% of the project’s expenditure, as determined by the research committee, in exchange for the payment of royalties from the revenues generated from the sale of products and related services developed, in whole or in part, pursuant to, or as a result of, a research and development program funded by the IIA. The royalties are generally at a range of 3.0% to 5.0% of revenues until the entire grant is repaid, together with an annual interest (as determined in the Innovation Law). Following the full payment of such royalties and interest, there is generally no further liability for royalty payments. Nonetheless, the restrictions under the Innovation Law (as generally specified below) will continue to apply even after our company has repaid the grants, including accrued interest,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obligations under the Innovation Law which are applicable to us as a grant recipient are: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Local manufacturing obligation</w:t>
      </w:r>
      <w:r>
        <w:rPr>
          <w:rFonts w:ascii="Times New Roman;Times;Serif" w:hAnsi="Times New Roman;Times;Serif"/>
          <w:b w:val="false"/>
          <w:i w:val="false"/>
          <w:caps w:val="false"/>
          <w:smallCaps w:val="false"/>
          <w:sz w:val="20"/>
        </w:rPr>
        <w:t>: The terms of the Innovation Law require that the manufacture of products developed with IIA grants be performed in Israel. Manufacturing activity may not be transferred outside of Israel, unless the prior approval of the IIA is received. However, this does not restrict the export of products that incorporate the funded technology. Ordinarily, as a condition to obtaining approval to manufacture outside Israel, we would be required to pay royalties at an increased rate (usually 1% in addition to the standard rate) and increased royalties cap between 120% and 300% of the grants, depending on the manufacturing volume that is performed outside Israel as follows:</w:t>
      </w:r>
    </w:p>
    <w:p>
      <w:pPr>
        <w:pStyle w:val="TextBody"/>
        <w:bidi w:val="0"/>
        <w:spacing w:before="0" w:after="0"/>
        <w:ind w:left="0" w:right="0" w:firstLine="720"/>
        <w:jc w:val="both"/>
        <w:rPr>
          <w:caps w:val="false"/>
          <w:smallCaps w:val="false"/>
        </w:rPr>
      </w:pPr>
      <w:r>
        <w:rPr>
          <w:caps w:val="false"/>
          <w:smallCaps w:val="false"/>
        </w:rPr>
        <w:t> </w:t>
      </w:r>
    </w:p>
    <w:tbl>
      <w:tblPr>
        <w:tblW w:w="6899" w:type="dxa"/>
        <w:jc w:val="left"/>
        <w:tblInd w:w="0" w:type="dxa"/>
        <w:tblLayout w:type="fixed"/>
        <w:tblCellMar>
          <w:top w:w="0" w:type="dxa"/>
          <w:left w:w="0" w:type="dxa"/>
          <w:bottom w:w="28" w:type="dxa"/>
          <w:right w:w="0" w:type="dxa"/>
        </w:tblCellMar>
      </w:tblPr>
      <w:tblGrid>
        <w:gridCol w:w="4160"/>
        <w:gridCol w:w="60"/>
        <w:gridCol w:w="333"/>
        <w:gridCol w:w="2116"/>
        <w:gridCol w:w="230"/>
      </w:tblGrid>
      <w:tr>
        <w:trPr/>
        <w:tc>
          <w:tcPr>
            <w:tcW w:w="4160" w:type="dxa"/>
            <w:tcBorders>
              <w:bottom w:val="single" w:sz="12" w:space="0" w:color="000000"/>
            </w:tcBorders>
            <w:vAlign w:val="center"/>
          </w:tcPr>
          <w:p>
            <w:pPr>
              <w:pStyle w:val="TableContents"/>
              <w:bidi w:val="0"/>
              <w:spacing w:before="0" w:after="283"/>
              <w:jc w:val="left"/>
              <w:rPr>
                <w:b/>
              </w:rPr>
            </w:pPr>
            <w:r>
              <w:rPr>
                <w:b/>
              </w:rPr>
              <w:t>Manufacturing Volume Outside of Israel</w:t>
            </w:r>
          </w:p>
        </w:tc>
        <w:tc>
          <w:tcPr>
            <w:tcW w:w="60" w:type="dxa"/>
            <w:tcBorders>
              <w:bottom w:val="single" w:sz="12" w:space="0" w:color="000000"/>
            </w:tcBorders>
            <w:vAlign w:val="center"/>
          </w:tcPr>
          <w:p>
            <w:pPr>
              <w:pStyle w:val="TableContents"/>
              <w:bidi w:val="0"/>
              <w:spacing w:before="0" w:after="283"/>
              <w:jc w:val="left"/>
              <w:rPr/>
            </w:pPr>
            <w:r>
              <w:rPr/>
              <w:t> </w:t>
            </w:r>
          </w:p>
        </w:tc>
        <w:tc>
          <w:tcPr>
            <w:tcW w:w="2449" w:type="dxa"/>
            <w:gridSpan w:val="2"/>
            <w:tcBorders>
              <w:bottom w:val="single" w:sz="12" w:space="0" w:color="000000"/>
            </w:tcBorders>
            <w:vAlign w:val="center"/>
          </w:tcPr>
          <w:p>
            <w:pPr>
              <w:pStyle w:val="TableContents"/>
              <w:bidi w:val="0"/>
              <w:spacing w:before="0" w:after="283"/>
              <w:jc w:val="center"/>
              <w:rPr>
                <w:b/>
              </w:rPr>
            </w:pPr>
            <w:r>
              <w:rPr>
                <w:b/>
              </w:rPr>
              <w:t>Royalties to the IIA as a</w:t>
              <w:br/>
              <w:t>Percentage of Grant</w:t>
            </w:r>
          </w:p>
        </w:tc>
        <w:tc>
          <w:tcPr>
            <w:tcW w:w="230" w:type="dxa"/>
            <w:tcBorders/>
            <w:tcMar>
              <w:bottom w:w="0" w:type="dxa"/>
            </w:tcMar>
            <w:vAlign w:val="center"/>
          </w:tcPr>
          <w:p>
            <w:pPr>
              <w:pStyle w:val="TableContents"/>
              <w:bidi w:val="0"/>
              <w:spacing w:before="0" w:after="283"/>
              <w:jc w:val="left"/>
              <w:rPr/>
            </w:pPr>
            <w:r>
              <w:rPr/>
              <w:t> </w:t>
            </w:r>
          </w:p>
        </w:tc>
      </w:tr>
      <w:tr>
        <w:trPr/>
        <w:tc>
          <w:tcPr>
            <w:tcW w:w="4160" w:type="dxa"/>
            <w:tcBorders/>
            <w:shd w:fill="CCEEFF" w:val="clear"/>
            <w:tcMar>
              <w:bottom w:w="0" w:type="dxa"/>
            </w:tcMar>
            <w:vAlign w:val="center"/>
          </w:tcPr>
          <w:p>
            <w:pPr>
              <w:pStyle w:val="TableContents"/>
              <w:bidi w:val="0"/>
              <w:spacing w:before="0" w:after="283"/>
              <w:jc w:val="both"/>
              <w:rPr>
                <w:b/>
              </w:rPr>
            </w:pPr>
            <w:r>
              <w:rPr>
                <w:b/>
              </w:rPr>
              <w:t>Up to 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 </w:t>
            </w:r>
          </w:p>
        </w:tc>
        <w:tc>
          <w:tcPr>
            <w:tcW w:w="2116" w:type="dxa"/>
            <w:tcBorders/>
            <w:shd w:fill="CCEEFF" w:val="clear"/>
            <w:tcMar>
              <w:bottom w:w="0" w:type="dxa"/>
            </w:tcMar>
            <w:vAlign w:val="center"/>
          </w:tcPr>
          <w:p>
            <w:pPr>
              <w:pStyle w:val="TableContents"/>
              <w:bidi w:val="0"/>
              <w:spacing w:before="0" w:after="283"/>
              <w:jc w:val="right"/>
              <w:rPr/>
            </w:pPr>
            <w:r>
              <w:rPr/>
              <w:t>120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160" w:type="dxa"/>
            <w:tcBorders/>
            <w:tcMar>
              <w:bottom w:w="0" w:type="dxa"/>
            </w:tcMar>
            <w:vAlign w:val="center"/>
          </w:tcPr>
          <w:p>
            <w:pPr>
              <w:pStyle w:val="TableContents"/>
              <w:bidi w:val="0"/>
              <w:spacing w:before="0" w:after="283"/>
              <w:jc w:val="both"/>
              <w:rPr>
                <w:b/>
              </w:rPr>
            </w:pPr>
            <w:r>
              <w:rPr>
                <w:b/>
              </w:rPr>
              <w:t>Between 50% and 90%</w:t>
            </w:r>
          </w:p>
        </w:tc>
        <w:tc>
          <w:tcPr>
            <w:tcW w:w="60" w:type="dxa"/>
            <w:tcBorders/>
            <w:tcMar>
              <w:bottom w:w="0" w:type="dxa"/>
            </w:tcMar>
            <w:vAlign w:val="center"/>
          </w:tcPr>
          <w:p>
            <w:pPr>
              <w:pStyle w:val="TableContents"/>
              <w:bidi w:val="0"/>
              <w:spacing w:before="0" w:after="283"/>
              <w:jc w:val="left"/>
              <w:rPr/>
            </w:pPr>
            <w:r>
              <w:rPr/>
              <w:t> </w:t>
            </w:r>
          </w:p>
        </w:tc>
        <w:tc>
          <w:tcPr>
            <w:tcW w:w="333" w:type="dxa"/>
            <w:tcBorders/>
            <w:tcMar>
              <w:bottom w:w="0" w:type="dxa"/>
            </w:tcMar>
            <w:vAlign w:val="center"/>
          </w:tcPr>
          <w:p>
            <w:pPr>
              <w:pStyle w:val="TableContents"/>
              <w:bidi w:val="0"/>
              <w:spacing w:before="0" w:after="283"/>
              <w:jc w:val="left"/>
              <w:rPr/>
            </w:pPr>
            <w:r>
              <w:rPr/>
              <w:t> </w:t>
            </w:r>
          </w:p>
        </w:tc>
        <w:tc>
          <w:tcPr>
            <w:tcW w:w="2116" w:type="dxa"/>
            <w:tcBorders/>
            <w:tcMar>
              <w:bottom w:w="0" w:type="dxa"/>
            </w:tcMar>
            <w:vAlign w:val="center"/>
          </w:tcPr>
          <w:p>
            <w:pPr>
              <w:pStyle w:val="TableContents"/>
              <w:bidi w:val="0"/>
              <w:spacing w:before="0" w:after="283"/>
              <w:jc w:val="right"/>
              <w:rPr/>
            </w:pPr>
            <w:r>
              <w:rPr/>
              <w:t>150</w:t>
            </w:r>
          </w:p>
        </w:tc>
        <w:tc>
          <w:tcPr>
            <w:tcW w:w="230" w:type="dxa"/>
            <w:tcBorders/>
            <w:tcMar>
              <w:bottom w:w="0" w:type="dxa"/>
            </w:tcMar>
            <w:vAlign w:val="center"/>
          </w:tcPr>
          <w:p>
            <w:pPr>
              <w:pStyle w:val="TableContents"/>
              <w:bidi w:val="0"/>
              <w:spacing w:before="0" w:after="283"/>
              <w:jc w:val="left"/>
              <w:rPr/>
            </w:pPr>
            <w:r>
              <w:rPr/>
              <w:t>%</w:t>
            </w:r>
          </w:p>
        </w:tc>
      </w:tr>
      <w:tr>
        <w:trPr/>
        <w:tc>
          <w:tcPr>
            <w:tcW w:w="4160" w:type="dxa"/>
            <w:tcBorders/>
            <w:shd w:fill="CCEEFF" w:val="clear"/>
            <w:tcMar>
              <w:bottom w:w="0" w:type="dxa"/>
            </w:tcMar>
            <w:vAlign w:val="center"/>
          </w:tcPr>
          <w:p>
            <w:pPr>
              <w:pStyle w:val="TableContents"/>
              <w:bidi w:val="0"/>
              <w:spacing w:before="0" w:after="283"/>
              <w:jc w:val="both"/>
              <w:rPr>
                <w:b/>
              </w:rPr>
            </w:pPr>
            <w:r>
              <w:rPr>
                <w:b/>
              </w:rPr>
              <w:t>90% and more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3" w:type="dxa"/>
            <w:tcBorders/>
            <w:shd w:fill="CCEEFF" w:val="clear"/>
            <w:tcMar>
              <w:bottom w:w="0" w:type="dxa"/>
            </w:tcMar>
            <w:vAlign w:val="center"/>
          </w:tcPr>
          <w:p>
            <w:pPr>
              <w:pStyle w:val="TableContents"/>
              <w:bidi w:val="0"/>
              <w:spacing w:before="0" w:after="283"/>
              <w:jc w:val="left"/>
              <w:rPr/>
            </w:pPr>
            <w:r>
              <w:rPr/>
              <w:t> </w:t>
            </w:r>
          </w:p>
        </w:tc>
        <w:tc>
          <w:tcPr>
            <w:tcW w:w="2116" w:type="dxa"/>
            <w:tcBorders/>
            <w:shd w:fill="CCEEFF" w:val="clear"/>
            <w:tcMar>
              <w:bottom w:w="0" w:type="dxa"/>
            </w:tcMar>
            <w:vAlign w:val="center"/>
          </w:tcPr>
          <w:p>
            <w:pPr>
              <w:pStyle w:val="TableContents"/>
              <w:bidi w:val="0"/>
              <w:spacing w:before="0" w:after="283"/>
              <w:jc w:val="right"/>
              <w:rPr/>
            </w:pPr>
            <w:r>
              <w:rPr/>
              <w:t>300</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of no more than 10% of the manufacturing capacity in the aggregate outside of Israel is exempt under the Innovation Law from obtaining the prior approval of the IIA. A company requesting funds from the IIA also has the option of declaring in its IIA grant application its intention to perform part of its manufacturing outside Israel, thus avoiding the need to obtain additional approval.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know-how outside of Israel:</w:t>
      </w:r>
      <w:r>
        <w:rPr>
          <w:rFonts w:ascii="Times New Roman;Times;Serif" w:hAnsi="Times New Roman;Times;Serif"/>
          <w:b w:val="false"/>
          <w:i w:val="false"/>
          <w:caps w:val="false"/>
          <w:smallCaps w:val="false"/>
          <w:sz w:val="20"/>
        </w:rPr>
        <w:t> The know-how developed within the framework of the IIA plan may not be transferred to third parties outside Israel without the prior approval of the IIA. The approval, however, is not required for the export of any products developed using grants received from the IIA. The IIA approval to transfer know-how created, in whole or in part, in connection with an IIA-funded project, to a third party outside Israel is subject to payment of a redemption fee to the IIA calculated according to a formula provided under the Innovation Law that is based, in general, on the ratio between the aggregate IIA grants to the company’s aggregate investments in the project that was funded by these IIA grants, multiplied by the transaction consideration. The regulations promulgated under the Innovation Law establish a cap of the redemption fee payable to the IIA under the above mentioned formulas and differentiate between two situations: (i) in the event that the funded company sells its IIA funded know-how, in whole or in part, or is sold as part of an merger and acquisition, or M&amp;A, transaction, and subsequently ceases to conduct business in Israel, the maximum redemption fee under the above mentioned formulas will be no more than six times the total grants received from the IIA, including accrued interest; (ii) in the event that following the transactions described above the company undertakes to continue its research and development activity in Israel for at least three years following such transfer and maintain at least 75% of its research and development staff employees it had for the six months before the know-how was transferred, while keeping the same scope of employment for such research and development staff, then the company is eligible for a reduced cap of the redemption fee of no more than three times the amounts received (plus accrued interest) for the applicable know-how being transferred, or the entire amount received from the National Authority for Technological Innovation, or NATI,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redemption fee, the know-how and the production rights for the products supported by such funding cease to be subject to the Innovation Law. Transfer of such funded know-how to an Israeli entity is subject to the IIA approval and to an undertaking of the recipient Israeli entity to comply with the provisions of the Innovation Law and related regulations, including the restrictions on the transfer of know-how and the obligation to pay royalties, as further described in the Innovation Law and related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Licensing rules:</w:t>
      </w:r>
      <w:r>
        <w:rPr>
          <w:rFonts w:ascii="Times New Roman;Times;Serif" w:hAnsi="Times New Roman;Times;Serif"/>
          <w:b w:val="false"/>
          <w:i w:val="false"/>
          <w:caps w:val="false"/>
          <w:smallCaps w:val="false"/>
          <w:sz w:val="20"/>
        </w:rPr>
        <w:t> In May 2017, the IIA issued new rules for licensing know-how developed with the IIA’s funding outside of Israel, or the Licensing Rules, which allow a company to enter into licensing arrangements or grant other rights in know-how developed under the IIA’s programs outside of Israel, subject to the prior consent of the IIA and payment of license fees, calculated in accordance with the Licensing Rules. The payment of the license fees will not discharge a company from the obligations to pay royalties or other payments to the IIA.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Certain reporting obligations:</w:t>
      </w:r>
      <w:r>
        <w:rPr>
          <w:rFonts w:ascii="Times New Roman;Times;Serif" w:hAnsi="Times New Roman;Times;Serif"/>
          <w:b w:val="false"/>
          <w:i w:val="false"/>
          <w:caps w:val="false"/>
          <w:smallCaps w:val="false"/>
          <w:sz w:val="20"/>
        </w:rPr>
        <w:t> A recipient of grants under the Innovation Law is required to notify the IIA of certain events enumerated in the Innovation Law. In addition, the IIA may from time to time audit sales of products by companies which received funding from the IIA and this may lead to additional royalties being payable on additional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received any grants from the IIA. In the future, we may apply for such grants. In the event that a company has received IIA grants, the abovementioned restrictions and requirements for payment may impair the ability of such a company to sell its technology outside of Israel, or to outsource manufacturing or otherwise transfer know-how outside Israel and may require it to obtain the approval or the IIA for certain actions and transactions and pay additional royalties or other payments to the IIA. If such a company fails to comply with the Innovation Law, it may be subject to mandatory repayment of grants, together with interest and penalties, as well as be exposed to criminal charges.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Benefits for Research and Development under the Encouragement of Industrial Research and Development Law-1984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pStyle w:val="TextBody"/>
        <w:bidi w:val="0"/>
        <w:spacing w:before="0" w:after="0"/>
        <w:ind w:left="0" w:right="0" w:firstLine="72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expenditures are approved by the relevant Israeli government ministry, determined by the field of research;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and development must be for the promotion of the company;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and development is carried out by or on behalf of the company seeking such tax deduction.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Ordinance. Expenditures related to scientific research and development that were not approved are deductible in equal amounts over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apply the IIA for approval to allow a tax deduction for all research and development expenses during the year incurred. There can be no assurance that such application will be accepted.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Law for the Encouragement of Capital Investments-1959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for the Encouragement of Capital Investments-1959, generally referred to as the Investment Law, provides certain incentives for capital investments in production facilities (or other eligible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Law was significantly amended effective as of April 1, 2005, as of January 1, 2011, and as of January 1, 2017 (the “2017 Amendment”). The 2017 Amendment introduces new benefits for Technology Enterprises, alongside the existing tax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Benefits Under the 2017 Amendment</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was enacted as part of the Economic Efficiency Law that was published on December 29, 2016, and is effective as of January 1, 2017. The 2017 Amendment provides new tax benefits for two types of “Technological Enterprises,” as described below, and is in addition to the other existing tax benefits programs under the Investment Law.</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provides that a technology company satisfying certain conditions will qualify as a “Preferred Technological Enterprise” and will thereby enjoy a reduced corporate tax rate of 12% on income that qualifies as “Preferred Technological Income,” as defined in the Investment Law. The tax rate is further reduced to 7.5% for a Preferred Technological Enterprise located in development zone “A.” In addition, a Preferred Technological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further provides that a technological company satisfying certain conditions (including a group turnover of at least NIS 10 billion) will qualify as a “Special Preferred Technological Enterprise” and will thereby enjoy a reduced corporate tax rate of 6% on “Preferred Technological Income” regardless of the company’s geographic location within Israel. In addition, a Special Preferred Technological Enterprise will enjoy a reduced corporate tax rate of 6% on capital gain derived from the sale of certain “Benefitted Intangible Assets” to a related foreign company if the Benefitted Intangible Assets were either developed by the Special Preferred Technological Enterprise or acquired from a foreign company on or after January 1, 2017, and the sale received prior approval from IIA. A Special Preferred Technological Enterprise that acquires Benefitted Intangible Assets from a foreign company for more than NIS 500 million will be eligible for these benefits for at least ten years, subject to certain approvals as specified in the Investment Law.</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distributed by a Preferred Technological Enterprise or a Special Preferred Technological Enterprise, paid out of Preferred Technological Income, are generally subject to withholding tax at source at the rate of 20% or such lower rate as may be provided in an applicable tax treaty. However, if such dividends are paid to an Israeli company, no tax is required to be withheld. If such dividends are distributed to a foreign company and other conditions are met, the withholding tax rate will be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the future we generate taxable income, to the extent that we qualify as a “Preferred Company,” the benefits provided under the Investment Law could potentially reduce our corporate tax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our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Gains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capital gain tax is imposed on the disposal of capital assets by an Israeli resident, and on the disposal of such assets by a non-Israeli resident if those assets are either (i) located in Israel; (ii) are shares or a right to a share in an Israeli resident corporation, or (iii) represent, directly or indirectly, rights to assets located in Israel. The Israeli Income Tax Ordinance of 1961 (New Version), or the Ordinance, distinguishes between “Real Gain” and the “Inflationary Surplus.” The Inflationary Surplus is a portion of the total capital gain which is equivalent to the increase of the relevant asset’s purchase price which is attributable to the increase in the Israeli consumer price index or the foreign exchange rate differences in certain cases, between the date of purchase and the date of sale. The Real Gain is the excess of the total capital gain over Inflationary Surplus. Inflationary Surplus generated from December 31, 1993, is not subject to tax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Gain accrued by individuals on the sale of our ordinary shares will be taxed at the rate of 25%. However, if the individual shareholder is a “Substantial Shareholder” (i.e., a person who holds, directly or indirectly, alone or together with such person’s relative or another person who collaborates with such person on a permanent basis, 10% or more of one of the Israeli resident company’s “means of control.” “Means of control” generally includes the right to vote, receive profits, nominate a director or an officer, receive assets upon liquidation, or order someone who holds any of the aforesaid rights how to act, and all regardless of the source of such right) at the time of sale or at any time during the preceding 12 months period, such gain will be taxed at the rate of 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Capital Gain derived by corporations will be generally subject to a corporate tax rate of 23% (in 2024).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Gains Taxes is Applicable also to Non-Israeli Resident Shareholders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non-Israeli resident who derives capital gains from the sale, exchange or disposition of shares in an Israeli resident company listed on a non-Israeli stock exchange may be exempt from Israeli tax so long as the following cumulative conditions are met: (i) the shares were purchased upon or after the registration of the securities on the stock exchange, (ii) the seller does not have a permanent establishment in Israel to which the derived capital gain is attributed, and (iii) the capital gains are neither subject to section 101 of the Ordinance, nor to the Israeli Income Tax Law (Inflationary Adjustments)-1985.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Furthermore, such exemption is not applicable to a person whose gains from selling or otherwise disposing of the securities are deemed to be business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sale of shares by a non-Israeli resident may be exempt from Israeli capital gains tax under the provisions of an applicable tax treaty (subject to the receipt in advance of a valid certificate from the Israel Tax Authority, or the ITA). For example, under Convention Between the Government of the United States of America and the Government of the State of Israel with respect to Taxes on Income, as amended, or the U.S.-Israel Tax Treaty, the sale, exchange or other disposition of shares by a shareholder who is a United States resident (for purposes of the treaty) holding the shares as a capital asset and is entitled to claim the benefits afforded to such a resident by the U.S.-Israel Tax Treaty, or a Treaty U.S. Resident, is generally exempt from Israeli capital gains tax unless either: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of the Treaty U.S. Resident maintained in Israel, under certain terms; (iv) such Treaty U.S. Resident holds, directly or indirectly, shares representing 10% or more of the voting capital during any part of the 12-month period preceding the sale, exchange or disposition, subject to certain conditions; or (v) such Treaty U.S. Resident is an individual and was present in Israel for 183 days or more during the relevant taxable year. In any of these cases, the sale, exchange or disposition of our ordinary shares would be subject to Israeli tax, to the extent applicable. However, under the U.S.-Israel Tax Treaty, such Treaty U.S. Resident would be permitted to claim a credit for the tax against the U.S. federal income tax imposed with respect to the sale, exchange or disposition, subject to the limitations in U.S. laws applicable to foreign tax credits. The United States-Israel Tax Treaty does not provide such credit against any U.S. state or local taxes.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Israeli Tax Authority may require from shareholders who are not liable for Israeli tax to sign declarations in forms specified by this authority or obtain a specific exemption from the Israeli Tax Authority to confirm their status as non-Israeli residents, and, in the absence of such declarations or exemptions, may require the purchaser of the shares to withhold taxes at source.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Non-Israeli residents (whether individuals or corporations) are generally subject to Israeli income tax on the receipt of dividends paid on our ordinary shares at the rate of 25% (or 30% in the case such shareholder is considered a “substantial shareholder” at any point in the preceding 12 month period), which tax will be withheld at source, unless relief is provided in an applicable tax treaty between Israel and the shareholder’s country of residence. However, a distribution of dividends to non-Israeli residents is subject to withholding tax at source at a rate of 20% if the dividend is distributed from income attributed to a Preferred (including Preferred Technological) Enterprise. If the dividend is attributable in part to income derived from a Preferred Enterprise or a Preferred Technological Enterprise, the withholding rate will be a blended rate reflecting the relative portions of the types of income. We cannot assure you that we will designate the profits that we may distribute in a way that will reduce shareholders’ tax liability. Such dividends are generally subject to Israeli withholding tax at a rate of 25% so long as the shares are registered with a nominee company (whether the recipient is a substantial shareholder or not) and 20% if the dividend is distributed from income attributed to a Preferred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 reduced tax rate may be provided under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not generated by a Preferred Enterprise,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If dividends are distributed from income attributed to a Preferred Enterprise, or a Preferred Technological Enterprise and the foregoing conditions are met, such dividends are subject to a withholding tax rate of 15% for a shareholder that is a United States 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Excess Tax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an applicable tax treaty, individuals who are subject to income tax in Israel (whether any such individual is an Israeli resident or non-Israeli resident) are also subject to an additional tax at a rate of 3% on annual income (including, but not limited to, income derived from dividends, interest and capital gains) exceeding NIS 721,560 for 2024, which amount is linked to the annual change in the Israeli consumer price index.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Non-residents of Israel who hold our ordinary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Estate and Gift Tax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law presently does not impose estate or gift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MATERIAL U.S. FEDERAL INCOME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NOT INTENDED TO BE, AND SHOULD NOT BE CONSIDERED TO BE, LEGAL OR TAX ADVICE. EACH U.S. HOLDER SHOULD CONSULT WITH HIS OR HER OWN TAX ADVISOR AS TO THE U.S. FEDERAL INCOME TAX CONSEQUENCES OF THE PURCHASE, OWNERSHIP AND SALE OF ORDINARY SHARES, INCLUDING THE EFFECTS OF APPLICABLE STATE, LOCAL, FOREIGN OR OTHER TAX LAWS AND POSSIBLE CHANGES IN THE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the following discussion summarizes certain material U.S. federal income tax consequences to a “U.S. Holder” arising from the purchase, ownership and sale of our ordinary shares. For this purpose, a “U.S. Holder” is a holder of ordinary shares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its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for general information purposes only and does not purport to be a comprehensive description of all of the U.S. federal income tax considerations that may be relevant to the purchase, ownership or sale of our ordinary shares. This summary generally considers only U.S. Holders that own our ordinary shares as capital assets. This summary does not consider the U.S. federal tax consequences to a person that is not a U.S. Holder. This summary is based on the provisions of the Internal Revenue Code of 1986, as amended, or the Code, final, temporary and proposed U.S. Treasury regulations promulgated thereunder, administrative and judicial interpretations thereof, and the United States-Israel Tax Treaty, all as in effect as of the date hereof and all of which are subject to change, possibly on a retroactive basis, and all of which are open to differing interpretations. This summary does not discuss the potential effects, whether adverse or beneficial, of any proposed legislation that, if enacted, could be applied on a retroactive basis. We will not seek a ruling from the IRS, with regard to the U.S. federal income tax treatment of an investment in our ordinary shares by U.S. Holders and, therefore, can provide no assurances that the IRS will agree with the conclusions set forth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of the aspects of U.S. federal income taxation that may be relevant to a particular U.S. Holder based on such U.S.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ordinary shares in connection with employment or other performance of services; (4) a U.S. Holder that is subject to the U.S. alternative minimum tax; (5) a U.S. Holder that holds our ordinary shares as a hedge or as part of a hedging, straddle, conversion or constructive sale transaction or other risk-reduction transaction for U.S. federal income tax purposes; (6) a tax-exempt entity; (7) real estate investment trusts or grantor trusts; (8) a U.S. Holder that expatriates out of the United States or a former long-term resident of the United States; or (9) a person having a functional currency other than the U.S. dollar. This discussion does not address the U.S. federal income tax treatment of a U.S. Holder that owns, directly, indirectly or constructively, at any time, ordinary shares representing 10% or more of the stock (by vote or value)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any entity or arrangement treated as a partnership for United States federal income tax purposes) holds our ordinary shares, the tax treatment of a person treated as a partner in the partnership for United States federal income tax purposes generally will depend on the status of the partner and the activities of the partnership. Partnerships (and other entities or arrangements so treated for United States federal income tax purposes) and their partners should consult their own tax advisors.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EACH U.S. HOLDER IS ADVISED TO CONSULT HIS OR HER OWN TAX ADVISER FOR THE SPECIFIC TAX CONSEQUENCES TO THAT U.S. HOLDER OF PURCHASING, HOLDING OR DISPOSING OF OUR ORDINARY SHARES, INCLUDING THE EFFECTS OF APPLICABLE STATE, LOCAL, FOREIGN OR OTHER TAX LAWS AND POSSIBLE CHANGES IN THE TAX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the ordinary shares (including the amount of any Israeli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United States-Israel Tax Treaty satisfies this requirement and we believe we are eligible for the benefits of that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dividends will be qualified dividend income if our ordinary shares are readily tradable on the Nasdaq Capital Market or another established securities market in the United States. Dividends will not qualify for the preferential rate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121-day period beginning on the date which is 60 days before the ex-dividend date, or (2) to the extent the U.S. Holder is under an obligation to make related payments with respect to positions in substantially similar or related property. Any days during which the U.S. Holder has diminished its risk of loss on our ordinary shares are not counted towards meeting the 61-day holding period. Finally, U.S. Holders who elect to treat the dividend income as “investment income” pursuant to Section 163(d)(4) of the Code will not be eligible for the preferential rate of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U.S. Holders generally will not be allowed a deduction for dividends received from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 distribution with respect to our ordinary shares will be measured by the amount of the fair market value of any property distributed, and for U.S. federal income tax purposes, the amount of any Israeli taxes withheld therefrom. Cash distributions paid by us in NIS, if any, will be included in the income of U.S. Holders at a U.S. dollar amount based upon the spot rate of exchange in effect on the date the dividend is includible in the income of the U.S. Holder, and U.S. Holders will have a tax basis in such NIS for U.S. federal income tax purposes equal to such U.S. dollar value. If the U.S. Holder subsequently converts the NIS into U.S. dollars or otherwise disposes of them, any subsequent gain or loss in respect of such NIS arising from exchange rate fluctuations will be U.S. source ordinary income or loss. U.S. Holders should consult their own tax advisors regarding the tax consequences to them if we pay dividends in NIS or any other non-U.S.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significant conditions and limitations, including potential limitations under the U.S.-Israel Tax Treaty, U.S. holders may be entitled to a credit against their U.S. federal income tax liability or a deduction against U.S. federal taxable income in an amount equal to the non-refundable Israeli tax withheld on distributions on our ordinary shares. However, as a result of recent changes to the U.S. foreign tax credit rules, a withholding tax may need to satisfy certain additional requirements in order to be considered a creditable tax for a U.S. holder. We have not determined whether these requirements have been met and, accordingly, no assurance can be given that any withholding tax on dividends paid by us will be creditable. The election to deduct, rather than credit, foreign taxes, is made on a year-by-year basis and applies to all foreign taxes paid by a U.S. holder or withheld from a U.S. holder that year. Distributions paid on our ordinary shares will generally be treated as passive income that is foreign source for U.S. foreign tax credit purposes, which may be relevant in calculating a U.S. holder’s foreign tax credit limitation. The rules relating to the determination of the foreign tax credit are complex, and U.S. Holders should consult their tax advisor to determine whether and to what extent such U.S. Holder will be entitled to this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the Sale, Exchange or other Disposition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determined in U.S. dollars, and the U.S. dollar value of the amount realized on the disposition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own tax advisors regarding the U.S. federal income tax consequences of receiving currency other than U.S. dollars upon the disposition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projected composition of our income and valuation of our assets, we may have been a PFIC during 2023, and although we have not determined whether we will be a PFIC in 2024, or in any subsequent year, our operating results for any such years may cause us to be a PFIC. If we were classified as a PFIC in any taxable year, a U.S. Holder would be subject to special rules with respect to distributions on and sales, exchanges and other dispositions of our ordinary shares. Generally, we will be treated as a PFIC for any taxable year in which at least 75 percent of our gross income is “passive income” or at least 50 percent of our gross assets during the taxable year, assuming we were not a controlled foreign corporation for the year being tested, based on the average of the fair market values of the assets determined at the end of each quarterly period, are assets that produce or are held for the production of passive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for this purpose generally includes, among other things, dividends, interest, rents, royalties, gains from commodities and securities transactions, and gains from assets that produce passive income. Passive income also includes amounts derived by reason of the temporary investment of funds, including those raised in a public offering. Generally, cash is treated as generating passive income and is therefore treated as a passive asset for purposes of the PFIC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rents and royalties received from unrelated parties in connection with the active conduct of a trade or business are not considered passive income for purposes of the PFIC test. In determining whether we are a PFIC, a pro rata portion of the income and assets of each corporation in which we own, directly or indirectly, at least a 25% interest (by value) is taken into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Excess Distribution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a PFIC with respect to a U.S. Holder, then unless the U.S. Holder makes one of the elections described below, a special tax regime would apply to the U.S. Holder with respect to (a) any “excess distribution” (generally, aggregate distributions in any year that are greater than 125% of the average annual distribution received by the U.S. Holder in the shorter of the three preceding years or the U.S. Holder’s holding period for the ordinary shares) and (b) any gain realized on the sale or other disposition of the ordinary shares. Under this regime, any excess distribution and realized gain will be treated as ordinary income and will be subject to tax as if (a) the excess distribution or gain had been realized ratably over the U.S. Holder’s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A U.S. Holder that is not a corporation will be required to treat any such interest paid as “personal interest,” which is not deductible. In addition, dividend distributions would not qualify for the lower rates of taxation applicable to long-term capital gains discussed above under “Taxation of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holds our ordinary shares at any time during a taxable year in which we are classified as a PFIC generally will continue to treat such ordinary shares as shares in a PFIC, even if we no longer satisfy the income and asset tests described above, unless the U.S. Holder elects to recognize gain, which will be taxed under the excess distribution rules as if such ordinary shares had been sold on the last day of the last taxable year for which we were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elections by a U.S. Holder would alleviate some of the adverse consequences of PFIC status and would result in an alternative treatment of the ordinary shares, as described below. However, we do not currently intend to provide the information necessary for U.S. Holders to make “QEF elections,” as described below, and the availability of a “mark-to-market election” with respect to the shares is a factual determination that will depend on the manner and quantity of trading of our shares,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QEF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a PFIC, the rules above would not apply to a U.S. Holder that makes an election to treat our ordinary shares as stock of a qualified electing fund. A U.S. Holder that makes a QEF election is required to include in income its pro rata share of our ordinary earnings and net capital gain as ordinary income and long-term capital gain, respectively, subject to a separate election to defer payment of taxes, which deferral is subject to an interest charge. A U.S. Holder makes a QEF election generally by attaching a completed IRS Form 8621 to a timely filed United States federal income tax return for the year beginning with which the QEF election is to be effective (taking into account any extensions). A QEF election can be revoked only with the consent of the IRS. In order for a U.S. Holder to make a valid QEF election, we must annually provide or make available to the U.S. Holder certain information. We do not intend to provide to U.S. Holders the information required to make a valid QEF election and we currently make no undertaking to provide such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classified as a PFIC, under Treasury Regulations, if a U.S. Holder has an option, warrant, or other right to acquire stock of a PFIC, such option, warrant or right is considered to be PFIC stock. However, a U.S. Holder of an option, warrant or right to acquire stock of a PFIC may not make a QEF election that will apply to the option, warrant or other right to acquire PFIC stock. In addition, under Treasury Regulations, if a U.S. Holder holds an option, warrant or other right to acquire stock of a PFIC, the holding period with respect to shares of stock of the PFIC acquired on exercise of such option, warrant or other right will include the period that the option, warrant or other right was held. Each U.S. Holder should consult its own tax advisor regarding the application of the PFIC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a PFIC, the rules above also would not apply to a U.S. Holder that makes a “mark-to-market” election with respect to the ordinary shares, but this election will be available with respect to the ordinary shares only if they meet certain minimum trading requirements to be considered “marketable stock” for purposes of the PFIC rules. ordinary shares will be marketable stock if they are regularly traded on a national securities exchange that is registered with the SEC or on a non-U.S. exchange or market that meets certain requirements under the Treasury regulations. ordinary shares generally will be considered regularly traded during any calendar year during which they are traded, other than in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quantities, on at least 15 days during each calendar quarter. Any trades that have as their principal purpose meeting this requirement will be disregarded.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makes a valid mark-to-market election for the first tax year in which such U.S. Holder holds (or is deemed to hold) our ordinary shares and for which we are a PFIC will be required to include each year an amount equal to the excess, if any, of the fair market value of such ordinary shares the U.S. Holder owns as of the close of the taxable year over such U.S. Holder’s adjusted tax basis in such ordinary shares. The U.S. Holder will be entitled to a deduction for the excess, if any, of such U.S. Holder’s adjusted tax basis in the ordinary shares over the fair market value of such ordinary shares as of the close of the taxable year, but only to the extent of any net mark-to-market gains with respect to such ordinary shares included by the U.S. Holder under the election for prior taxable years. The U.S. Holder’s basis in such ordinary shares will be adjusted to reflect the amounts included or deducted pursuant to the election. Amounts included in income pursuant to a mark-to-market election, as well as gain on the sale, exchange or other taxable disposition of such ordinary shares, will be treated as ordinary income. The deductible portion of any mark-to-market loss, as well as loss on a sale, exchange or other disposition of our ordinary shares to the extent that the amount of such loss does not exceed net mark-to-market gains previously included in income, will be treated as ordinary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applies to the taxable year for which the election is made and all subsequent taxable years, unless the ordinary shares cease to be treated as marketable stock for purposes of the PFIC rules or the IRS consents to its revocation. The excess distribution rules described above generally will not apply to a U.S. Holder for tax years for which a mark-to-market election is in effect. However, if we were a PFIC for any year in which the U.S. Holder owns the ordinary shares but before a mark-to-market election is made, the interest charge rules described above would apply to any mark-to-market gain recognized in the year the election is made.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to determine under what circumstances the mark-to-market election or QEF election would be available and, if available, what the consequences of the alternative treatments would be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PFIC Reporting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PFIC stock must generally file an annual information return on IRS Form 8621 (Information Return by a Shareholder of a Passive Foreign Investment Company or Qualified Electing Fund) containing such information as the U.S. Treasury Department may require. The failure to file IRS Form 8621 could result in the imposition of penalties and the extension of the statute of limitations with respect to U.S. federal income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 are urged to consult their tax advisors as to our status as a PFIC, and the tax consequences to them if we were a PFIC, including the reporting requirements and the desirability of making, and the availability of, a QEF election or a mark-to-market election with respect to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on Net Investment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to beneficiaries of the estate or trust. In each case, the 3.8% Medicare tax applies only to the extent the U.S. Holder’s total adjusted income exceeds applicable thresholds. You should consult your own tax advisor regarding the application of backup withholding and the availability of and procedures for obtaining an exemption from backup withholding in your particular circumstances.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will be required to file an IRS Form 926 (Return by a U.S. Transferor of Property to a Foreign Corporation) to report a transfer of cash or other property to us. Substantial penalties may be imposed on a U.S. Holder that fails to comply with this reporting requirement. Each U.S. Holder is urged to consult with its own tax advisor regarding this reporting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may be subject to backup withholding at a rate of 24% with respect to cash dividends and proceeds from a disposition of our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You should consult your own tax advisor as to the possible obligation to file such information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 w:name="a_051"/>
      <w:bookmarkEnd w:id="52"/>
      <w:r>
        <w:rPr>
          <w:rFonts w:ascii="Times New Roman;Times;Serif" w:hAnsi="Times New Roman;Times;Serif"/>
          <w:b/>
          <w:i w:val="false"/>
          <w:caps w:val="false"/>
          <w:smallCaps w:val="false"/>
          <w:sz w:val="20"/>
        </w:rPr>
        <w:t>F. Dividends and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 w:name="a_052"/>
      <w:bookmarkEnd w:id="53"/>
      <w:r>
        <w:rPr>
          <w:rFonts w:ascii="Times New Roman;Times;Serif" w:hAnsi="Times New Roman;Times;Serif"/>
          <w:b/>
          <w:i w:val="false"/>
          <w:caps w:val="false"/>
          <w:smallCaps w:val="false"/>
          <w:sz w:val="20"/>
        </w:rPr>
        <w:t>G. Statement by 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 w:name="a_053"/>
      <w:bookmarkEnd w:id="54"/>
      <w:r>
        <w:rPr>
          <w:rFonts w:ascii="Times New Roman;Times;Serif" w:hAnsi="Times New Roman;Times;Serif"/>
          <w:b/>
          <w:i w:val="false"/>
          <w:caps w:val="false"/>
          <w:smallCaps w:val="false"/>
          <w:sz w:val="20"/>
        </w:rPr>
        <w:t>H. Documents on Display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information reporting requirements of the Exchange Act, applicable to foreign private issuers and under those requirements will file reports with the SEC. The SEC maintains an internet site at http://www.sec.gov that contains reports, proxy and information statements and other information regarding issuers that file electronically with the SEC. Our filings with the SEC will also be available to the public through the SEC’s website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domestic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may submit to the SEC, on a Form 6-K, unaudited quarterly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 w:name="a_054"/>
      <w:bookmarkEnd w:id="55"/>
      <w:r>
        <w:rPr>
          <w:rFonts w:ascii="Times New Roman;Times;Serif" w:hAnsi="Times New Roman;Times;Serif"/>
          <w:b/>
          <w:i w:val="false"/>
          <w:caps w:val="false"/>
          <w:smallCaps w:val="false"/>
          <w:sz w:val="20"/>
        </w:rPr>
        <w:t>I. Subsidiary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Annual Report to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 w:name="a_055"/>
      <w:bookmarkEnd w:id="56"/>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some of our cash and cash equivalents is held in deposits that bear interest. Given the current low rates of interest we receive, we will not be adversely affected if such rates are reduced. Our market risk exposure is primarily a result of U.S. dollar/NIS exchange rates, which is discussed in detail in the following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cash flow are subject to fluctuations due to changes in U.S. dollar/NIS currency exchange rates. A certain portion of our cash and cash equivalents is held in U.S. dollars, and the vast majority of our expenses is denominated in NIS. Changes of 5% and 10% in the U.S. dollar/NIS exchange rate would increase/decrease our operating expenses for the year ended December 31, 2023 by approximately -4.23% and -8.07%, respectively. However, these historical figures may not be indicative of future exposure, as we expect that the percentage of our NIS denominated expenses will decrease in the near future as our operations expand globally, therefore reducing our exposure to exchange rate fluctuations. Currently,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forecasts of our liquidity reserve (comprising cash and cash equivalents). We generally carry this out based on our expected cash flows in accordance with practice and limits set by our management. We are in the process of expanding our operations and the expenses associated therewith and we are therefore exposed to liquidity risk. However, we believe that our existing funds will enable us to fund our operating expenses and capital expenditure requirements for the twelve months following the date of this Annual Report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 w:name="a_056"/>
      <w:bookmarkEnd w:id="5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 w:name="a_057"/>
      <w:bookmarkEnd w:id="58"/>
      <w:r>
        <w:rPr>
          <w:rFonts w:ascii="Times New Roman;Times;Serif" w:hAnsi="Times New Roman;Times;Serif"/>
          <w:b/>
          <w:i w:val="false"/>
          <w:caps w:val="false"/>
          <w:smallCaps w:val="false"/>
          <w:sz w:val="20"/>
        </w:rPr>
        <w:t>A. Debt Securities.</w:t>
      </w:r>
    </w:p>
    <w:p>
      <w:pPr>
        <w:pStyle w:val="TextBody"/>
        <w:bidi w:val="0"/>
        <w:spacing w:before="0" w:after="0"/>
        <w:ind w:left="113"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 w:name="a_058"/>
      <w:bookmarkEnd w:id="59"/>
      <w:r>
        <w:rPr>
          <w:rFonts w:ascii="Times New Roman;Times;Serif" w:hAnsi="Times New Roman;Times;Serif"/>
          <w:b/>
          <w:i w:val="false"/>
          <w:caps w:val="false"/>
          <w:smallCaps w:val="false"/>
          <w:sz w:val="20"/>
        </w:rPr>
        <w:t>B. Warrants and rights.</w:t>
      </w:r>
    </w:p>
    <w:p>
      <w:pPr>
        <w:pStyle w:val="TextBody"/>
        <w:bidi w:val="0"/>
        <w:spacing w:before="0" w:after="0"/>
        <w:ind w:left="113"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 w:name="a_059"/>
      <w:bookmarkEnd w:id="60"/>
      <w:r>
        <w:rPr>
          <w:rFonts w:ascii="Times New Roman;Times;Serif" w:hAnsi="Times New Roman;Times;Serif"/>
          <w:b/>
          <w:i w:val="false"/>
          <w:caps w:val="false"/>
          <w:smallCaps w:val="false"/>
          <w:sz w:val="20"/>
        </w:rPr>
        <w:t>C. Other Securities.</w:t>
      </w:r>
    </w:p>
    <w:p>
      <w:pPr>
        <w:pStyle w:val="TextBody"/>
        <w:bidi w:val="0"/>
        <w:spacing w:before="0" w:after="0"/>
        <w:ind w:left="113"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 w:name="a_060"/>
      <w:bookmarkEnd w:id="61"/>
      <w:r>
        <w:rPr>
          <w:rFonts w:ascii="Times New Roman;Times;Serif" w:hAnsi="Times New Roman;Times;Serif"/>
          <w:b/>
          <w:i w:val="false"/>
          <w:caps w:val="false"/>
          <w:smallCaps w:val="false"/>
          <w:sz w:val="20"/>
        </w:rPr>
        <w:t>D. American Depositary Shares</w:t>
      </w:r>
    </w:p>
    <w:p>
      <w:pPr>
        <w:pStyle w:val="TextBody"/>
        <w:bidi w:val="0"/>
        <w:spacing w:before="0" w:after="0"/>
        <w:ind w:left="113"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2" w:name="a_061"/>
      <w:bookmarkEnd w:id="62"/>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3" w:name="a_062"/>
      <w:bookmarkEnd w:id="63"/>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1134" w:right="0" w:hanging="1134"/>
        <w:jc w:val="left"/>
        <w:rPr>
          <w:caps w:val="false"/>
          <w:smallCaps w:val="false"/>
        </w:rPr>
      </w:pPr>
      <w:r>
        <w:rPr>
          <w:caps w:val="false"/>
          <w:smallCaps w:val="false"/>
        </w:rPr>
        <w:t> </w:t>
      </w:r>
    </w:p>
    <w:p>
      <w:pPr>
        <w:pStyle w:val="TextBody"/>
        <w:bidi w:val="0"/>
        <w:spacing w:before="0" w:after="0"/>
        <w:ind w:left="1134" w:right="0" w:hanging="1134"/>
        <w:jc w:val="left"/>
        <w:rPr>
          <w:rFonts w:ascii="Times New Roman;Times;Serif" w:hAnsi="Times New Roman;Times;Serif"/>
          <w:b/>
          <w:i w:val="false"/>
          <w:caps w:val="false"/>
          <w:smallCaps w:val="false"/>
          <w:sz w:val="20"/>
        </w:rPr>
      </w:pPr>
      <w:bookmarkStart w:id="64" w:name="a_063"/>
      <w:bookmarkEnd w:id="64"/>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modifications to the rights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5" w:name="a_064"/>
      <w:bookmarkEnd w:id="65"/>
      <w:r>
        <w:rPr>
          <w:rFonts w:ascii="Times New Roman;Times;Serif" w:hAnsi="Times New Roman;Times;Serif"/>
          <w:b/>
          <w:i w:val="false"/>
          <w:caps w:val="false"/>
          <w:smallCaps w:val="false"/>
          <w:sz w:val="20"/>
        </w:rPr>
        <w:t>ITEM 15. CONTROLS AND PROCEDURES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has evaluated the effectiveness of our disclosure controls and procedures (as such term is defined in Rules 13a-15(e) and 15d-15(e) under the Exchange Act) as of December 31, 2023,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Management’s Annual Report on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Rule 13a-15(f) under the Exchange Act. Under the supervision and with the participation of our management, including our Chief Executive Officer and Chief Financial Officer, we conducted an evaluation of the effectiveness of our internal control over financial reporting based principally on the framework and criteria established in Internal Control - Integrated Framework (2013) issued by the Committee of Sponsoring Organizations of the Treadway Commission as of the end of the period covered by this report. Based on that evaluation, our management has concluded that our internal control over financial reporting was effective as of December 31, 2023 at providing reasonable assurance regarding the reliability of financial reporting and the preparation of financial statements for external purposes in accordance with generally accepted accounting principles.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Attestation Report of the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our independent registered public accounting firm regarding internal control over financial reporting due to an exemption for emerging growth companies provided in the JOBS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there were no changes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6" w:name="a_065"/>
      <w:bookmarkEnd w:id="66"/>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7" w:name="a_066"/>
      <w:bookmarkEnd w:id="67"/>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Mr. Oz Adler, is an audit committee financial expert as such term is defined by the SEC rules and has the requisite financial experience as defined by the Nasdaq Rules. Each of the members of our audit committee is “independent” as such term is defined in Rule 10A-3(b)(1) under the Exchange Act and satisfies the independent director requirements under the Nasdaq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8" w:name="a_067"/>
      <w:bookmarkEnd w:id="68"/>
      <w:r>
        <w:rPr>
          <w:rFonts w:ascii="Times New Roman;Times;Serif" w:hAnsi="Times New Roman;Times;Serif"/>
          <w:b/>
          <w:i w:val="false"/>
          <w:caps w:val="false"/>
          <w:smallCaps w:val="false"/>
          <w:sz w:val="20"/>
        </w:rPr>
        <w:t>ITEM 16B. CODE OF ETHICS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adopted a Code of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Ethics is posted on our website at </w:t>
      </w:r>
      <w:r>
        <w:rPr>
          <w:rFonts w:ascii="Times New Roman;Times;Serif" w:hAnsi="Times New Roman;Times;Serif"/>
          <w:b w:val="false"/>
          <w:i/>
          <w:caps w:val="false"/>
          <w:smallCaps w:val="false"/>
          <w:sz w:val="20"/>
        </w:rPr>
        <w:t>www.railvision.io.</w:t>
      </w:r>
      <w:r>
        <w:rPr>
          <w:rFonts w:ascii="Times New Roman;Times;Serif" w:hAnsi="Times New Roman;Times;Serif"/>
          <w:b w:val="false"/>
          <w:i w:val="false"/>
          <w:caps w:val="false"/>
          <w:smallCaps w:val="false"/>
          <w:sz w:val="20"/>
        </w:rPr>
        <w:t xml:space="preserve"> Information contained on, or that can be accessed through, our website does not constitute a part of this a part of this Annual Report on Form 20-F and is not incorporated by reference herein. If we make any amendment to the Code of Ethics or grant any waivers, including any implicit waiver, from a provision of the Code of Ethics, we will disclose the nature of such amendment or waiver on our website to the extent required by the rules and regulations of the SEC. We have not granted any waivers under our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9" w:name="a_068"/>
      <w:bookmarkEnd w:id="69"/>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 a Firm in the Deloitte Global Network, an independent registered public accounting firm, or Deloitte, has served as our principal independent registered public accounting firm for the year ended December 31, 2023, and 2022.</w:t>
      </w:r>
    </w:p>
    <w:p>
      <w:pPr>
        <w:pStyle w:val="TextBody"/>
        <w:bidi w:val="0"/>
        <w:spacing w:before="0" w:after="0"/>
        <w:ind w:left="0" w:right="0" w:firstLine="720"/>
        <w:jc w:val="both"/>
        <w:rPr>
          <w:caps w:val="false"/>
          <w:smallCaps w:val="false"/>
        </w:rPr>
      </w:pPr>
      <w:r>
        <w:rPr>
          <w:caps w:val="false"/>
          <w:smallCaps w:val="false"/>
        </w:rPr>
        <w:t> </w:t>
      </w:r>
    </w:p>
    <w:tbl>
      <w:tblPr>
        <w:tblW w:w="3592" w:type="dxa"/>
        <w:jc w:val="left"/>
        <w:tblInd w:w="0" w:type="dxa"/>
        <w:tblLayout w:type="fixed"/>
        <w:tblCellMar>
          <w:top w:w="0" w:type="dxa"/>
          <w:left w:w="0" w:type="dxa"/>
          <w:bottom w:w="0" w:type="dxa"/>
          <w:right w:w="0" w:type="dxa"/>
        </w:tblCellMar>
      </w:tblPr>
      <w:tblGrid>
        <w:gridCol w:w="2045"/>
        <w:gridCol w:w="60"/>
        <w:gridCol w:w="84"/>
        <w:gridCol w:w="536"/>
        <w:gridCol w:w="84"/>
        <w:gridCol w:w="84"/>
        <w:gridCol w:w="84"/>
        <w:gridCol w:w="540"/>
        <w:gridCol w:w="75"/>
      </w:tblGrid>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045" w:type="dxa"/>
            <w:tcBorders>
              <w:bottom w:val="single" w:sz="12" w:space="0" w:color="000000"/>
            </w:tcBorders>
            <w:tcMar>
              <w:bottom w:w="28" w:type="dxa"/>
            </w:tcMar>
            <w:vAlign w:val="center"/>
          </w:tcPr>
          <w:p>
            <w:pPr>
              <w:pStyle w:val="TableContents"/>
              <w:bidi w:val="0"/>
              <w:spacing w:before="0" w:after="283"/>
              <w:jc w:val="both"/>
              <w:rPr/>
            </w:pPr>
            <w:r>
              <w:rPr/>
              <w:t>(USD in thousands)</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pPr>
            <w:r>
              <w:rPr/>
              <w:t>Audit fees (1)</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pPr>
            <w:r>
              <w:rPr/>
              <w:t>120</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right"/>
              <w:rPr/>
            </w:pPr>
            <w:r>
              <w:rPr/>
              <w:t>120</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Audit-related fees (2)</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right"/>
              <w:rPr/>
            </w:pPr>
            <w:r>
              <w:rPr/>
              <w:t>50</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540" w:type="dxa"/>
            <w:tcBorders/>
            <w:vAlign w:val="center"/>
          </w:tcPr>
          <w:p>
            <w:pPr>
              <w:pStyle w:val="TableContents"/>
              <w:bidi w:val="0"/>
              <w:spacing w:before="0" w:after="283"/>
              <w:jc w:val="right"/>
              <w:rPr/>
            </w:pPr>
            <w:r>
              <w:rPr/>
              <w:t>220</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pPr>
            <w:r>
              <w:rPr/>
              <w:t>Tax fees (3)</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right"/>
              <w:rPr/>
            </w:pPr>
            <w:r>
              <w:rPr/>
              <w:t>21</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All other fees</w:t>
            </w:r>
          </w:p>
        </w:tc>
        <w:tc>
          <w:tcPr>
            <w:tcW w:w="60" w:type="dxa"/>
            <w:tcBorders/>
            <w:vAlign w:val="center"/>
          </w:tcPr>
          <w:p>
            <w:pPr>
              <w:pStyle w:val="TableContents"/>
              <w:bidi w:val="0"/>
              <w:spacing w:before="0" w:after="283"/>
              <w:jc w:val="left"/>
              <w:rPr/>
            </w:pPr>
            <w:r>
              <w:rPr/>
              <w:t> </w:t>
            </w:r>
          </w:p>
        </w:tc>
        <w:tc>
          <w:tcPr>
            <w:tcW w:w="84" w:type="dxa"/>
            <w:tcBorders>
              <w:bottom w:val="single" w:sz="12" w:space="0" w:color="000000"/>
            </w:tcBorders>
            <w:tcMar>
              <w:bottom w:w="28" w:type="dxa"/>
            </w:tcMar>
            <w:vAlign w:val="center"/>
          </w:tcPr>
          <w:p>
            <w:pPr>
              <w:pStyle w:val="TableContents"/>
              <w:bidi w:val="0"/>
              <w:spacing w:before="0" w:after="283"/>
              <w:jc w:val="left"/>
              <w:rPr/>
            </w:pPr>
            <w:r>
              <w:rPr/>
              <w:t> </w:t>
            </w:r>
          </w:p>
        </w:tc>
        <w:tc>
          <w:tcPr>
            <w:tcW w:w="536" w:type="dxa"/>
            <w:tcBorders>
              <w:bottom w:val="single" w:sz="12" w:space="0" w:color="000000"/>
            </w:tcBorders>
            <w:tcMar>
              <w:bottom w:w="28" w:type="dxa"/>
            </w:tcMar>
            <w:vAlign w:val="center"/>
          </w:tcPr>
          <w:p>
            <w:pPr>
              <w:pStyle w:val="TableContents"/>
              <w:bidi w:val="0"/>
              <w:spacing w:before="0" w:after="283"/>
              <w:jc w:val="right"/>
              <w:rPr/>
            </w:pPr>
            <w:r>
              <w:rPr/>
              <w:t>-</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84" w:type="dxa"/>
            <w:tcBorders>
              <w:bottom w:val="single" w:sz="12" w:space="0" w:color="000000"/>
            </w:tcBorders>
            <w:tcMar>
              <w:bottom w:w="28" w:type="dxa"/>
            </w:tcMar>
            <w:vAlign w:val="center"/>
          </w:tcPr>
          <w:p>
            <w:pPr>
              <w:pStyle w:val="TableContents"/>
              <w:bidi w:val="0"/>
              <w:spacing w:before="0" w:after="283"/>
              <w:jc w:val="left"/>
              <w:rPr/>
            </w:pPr>
            <w:r>
              <w:rPr/>
              <w:t> </w:t>
            </w:r>
          </w:p>
        </w:tc>
        <w:tc>
          <w:tcPr>
            <w:tcW w:w="540"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6" w:type="dxa"/>
            <w:tcBorders>
              <w:bottom w:val="double" w:sz="10" w:space="0" w:color="000000"/>
            </w:tcBorders>
            <w:shd w:fill="CCEEFF" w:val="clear"/>
            <w:tcMar>
              <w:bottom w:w="28" w:type="dxa"/>
            </w:tcMar>
            <w:vAlign w:val="center"/>
          </w:tcPr>
          <w:p>
            <w:pPr>
              <w:pStyle w:val="TableContents"/>
              <w:bidi w:val="0"/>
              <w:spacing w:before="0" w:after="283"/>
              <w:jc w:val="right"/>
              <w:rPr/>
            </w:pPr>
            <w:r>
              <w:rPr/>
              <w:t>170</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40" w:type="dxa"/>
            <w:tcBorders>
              <w:bottom w:val="double" w:sz="10" w:space="0" w:color="000000"/>
            </w:tcBorders>
            <w:shd w:fill="CCEEFF" w:val="clear"/>
            <w:tcMar>
              <w:bottom w:w="28" w:type="dxa"/>
            </w:tcMar>
            <w:vAlign w:val="center"/>
          </w:tcPr>
          <w:p>
            <w:pPr>
              <w:pStyle w:val="TableContents"/>
              <w:bidi w:val="0"/>
              <w:spacing w:before="0" w:after="283"/>
              <w:jc w:val="right"/>
              <w:rPr/>
            </w:pPr>
            <w:r>
              <w:rPr/>
              <w:t>361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260"/>
        <w:gridCol w:w="936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professional services provided in connection with the audit of our annual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in 2022 consist of services in connection with our initial public offering and in 2023 includes a consent and a comfort letter.</w:t>
            </w:r>
          </w:p>
        </w:tc>
      </w:tr>
    </w:tbl>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260"/>
        <w:gridCol w:w="761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fees for professional services for tax compliance, tax advice, and tax audits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Pre-Approval of Auditors’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 w:name="a_069"/>
      <w:bookmarkEnd w:id="70"/>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bookmarkStart w:id="71" w:name="a_070"/>
      <w:bookmarkEnd w:id="71"/>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2" w:name="a_071"/>
      <w:bookmarkEnd w:id="72"/>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3" w:name="a_072"/>
      <w:bookmarkEnd w:id="73"/>
      <w:r>
        <w:rPr>
          <w:rFonts w:ascii="Times New Roman;Times;Serif" w:hAnsi="Times New Roman;Times;Serif"/>
          <w:b/>
          <w:i w:val="false"/>
          <w:caps w:val="false"/>
          <w:smallCaps w:val="false"/>
          <w:sz w:val="20"/>
        </w:rPr>
        <w:t>ITEM 16G.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as well as related rules subsequently implemented by the SEC, require foreign private issuers, such as us, to comply with various corporate governance practices. In addition, following the listing of our ordinary shares and warrants on the Nasdaq Capital Market, we are required to comply with the Nasdaq Listing Rules. Under those rules, we may elect to follow certain corporate governance practices permitted under the Companies Law in lieu of compliance with corresponding corporate governance requirements otherwise imposed by the Nasdaq Listing Rules for U.S. domestic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Israeli law and practice and subject to the exemption set forth in Rule 5615 of the Nasdaq Listing Rules, we have elected to follow the provisions of the Companies Law, rather than the Nasdaq Listing Rules, with respect to the following requirements: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Distribution of periodic reports to shareholders; proxy solicitation.</w:t>
            </w:r>
            <w:r>
              <w:rPr>
                <w:rFonts w:ascii="Times New Roman;Times;Serif" w:hAnsi="Times New Roman;Times;Serif"/>
                <w:b w:val="false"/>
                <w:i w:val="false"/>
                <w:caps w:val="false"/>
                <w:smallCaps w:val="false"/>
                <w:sz w:val="20"/>
              </w:rPr>
              <w:t> As opposed to the Nasdaq Listing Rules, which require listed issuers to 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While the Nasdaq Listing Rules require that the quorum for purposes of any meeting of the holders of a listed company’s common voting stock, as specified in the company’s bylaws, be no less than 33 1/3% of the company’s outstanding issued and outstanding share capital, under Israeli law, a company is entitled to determine in its articles of association the number of shareholders and percentage of holdings required for a quorum at a shareholders meeting. Our amended and restated articles of association provides that a quorum of two or more shareholders holding at least 25% of the voting rights in person or by proxy is required for commencement of business at a general meeting. However, the quorum set forth in our amended and restated articles of association with respect to an adjourned meeting consists of any number of shareholders present in person or by proxy.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Nomination of our directors.</w:t>
            </w:r>
            <w:r>
              <w:rPr>
                <w:rFonts w:ascii="Times New Roman;Times;Serif" w:hAnsi="Times New Roman;Times;Serif"/>
                <w:b w:val="false"/>
                <w:i w:val="false"/>
                <w:caps w:val="false"/>
                <w:smallCaps w:val="false"/>
                <w:sz w:val="20"/>
              </w:rPr>
              <w:t> Our amended and restated articles of association provides that shareholders are entitled to appoint a director to the Company’s board of directors for each 10% of the Company’s outstanding share capital that they own and such appointment shall be for undefined period. Additional board members are elected at our shareholder’s annual meetings and in such case they shall serve on the board of directors until the next annual general meeting (except for external directors which will serve for up to three terms, each term of three years’ period). In addition, our amended and restated articles allow our board of directors to appoint directors to fill vacancies and/or as an addition to the board of directors (subject to the maximum number of directors) to serve until the next annual general meeting. All of the elected directors, other than external directors, may be re-elected for an unlimited number of terms upon completion of their then-current term of office. The nominations for directors are made in accordance with the provisions of our amended and restated articles of association and the Companies Law. Nominations need not be made by a nominating committee of our board of directors consisting solely of independent directors, as required under the Nasdaq Listing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of officers.</w:t>
            </w:r>
            <w:r>
              <w:rPr>
                <w:rFonts w:ascii="Times New Roman;Times;Serif" w:hAnsi="Times New Roman;Times;Serif"/>
                <w:b w:val="false"/>
                <w:i w:val="false"/>
                <w:caps w:val="false"/>
                <w:smallCaps w:val="false"/>
                <w:sz w:val="20"/>
              </w:rPr>
              <w:t> Israeli law and our amended and restated articles of association does not require that the independent members of our board of directors (or a compensation committee composed solely of independent members of our board of directors) determine an executive officer’s compensation, as is generally required under the Nasdaq Listing Rules with respect to the chief executive officer and all other executive officers. 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Companies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Independent directors.</w:t>
            </w:r>
            <w:r>
              <w:rPr>
                <w:rFonts w:ascii="Times New Roman;Times;Serif" w:hAnsi="Times New Roman;Times;Serif"/>
                <w:b w:val="false"/>
                <w:i w:val="false"/>
                <w:caps w:val="false"/>
                <w:smallCaps w:val="false"/>
                <w:sz w:val="20"/>
              </w:rPr>
              <w:t> Israeli law does not require that a majority of the directors serving on our board of directors be “independent,” as defined under Nasdaq Stock Market Rule 5605(a)(2), and rather requires we have at least two external directors who meet the requirements of the Companies Law, as described below under “Directors, Senior Management and Employees—Board Practices—External Directors.” The definition of independent director under Nasdaq Listing Rules and external director under the Companies Law overlap to a significant degree such that we would generally expect the directors serving as external directors to satisfy the requirements to be independent under Nasdaq Listing Rules. However, it is possible for a director to qualify as an ’‘external director’’ under the Companies Law without qualifying as an ’‘independent director’’ under the Nasdaq Listing Rules, or vice-versa. Our board of directors has determined that Mr. Yossi Daskal, Oz Adler, and Mrs. Inbal Kreiss are “independent” for purposes of the Nasdaq Listing Rules.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“independent directors” as defined in the Companies Law. Furthermore, Israeli law does not require, nor do our independent directors conduct, regularly scheduled meetings at which only they are present, which the Nasdaq Listing Rules otherwise require.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approval.</w:t>
            </w:r>
            <w:r>
              <w:rPr>
                <w:rFonts w:ascii="Times New Roman;Times;Serif" w:hAnsi="Times New Roman;Times;Serif"/>
                <w:b w:val="false"/>
                <w:i w:val="false"/>
                <w:caps w:val="false"/>
                <w:smallCaps w:val="false"/>
                <w:sz w:val="20"/>
              </w:rPr>
              <w:t> We will seek shareholder approval for all corporate actions requiring such approval under the requirements of the Companies Law, rather than seeking approval for corporate actions in accordance with Nasdaq Stock Market Rule 5635. In particular, under this Nasdaq Stock Market rule, shareholder approval is generally required for: (i) an acquisition of shares or 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 or amendment of equity compensation arrangements (although under the provisions of the Companies Law there is no requirement for shareholder approval for the adoption/amendment of the equity compensation plan); and (iv) issuances of 20% or more of the shares or voting rights (including securities convertible into, or exercisable for, equity) of a listed company via a private placement (and/or via sales by directors, officers or 5% shareholders) if such equity is issued (or sold) at below the greater of the book or market value of shares. By contrast, under the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and (iii) terms of employment or other engagement of the controlling shareholder of us or such controlling shareholder’s relative, which require special approval. In addition, under the Companies Law, a merger requires approval of the shareholders of each of the merging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Approval of Related Party Transactions</w:t>
            </w:r>
            <w:r>
              <w:rPr>
                <w:rFonts w:ascii="Times New Roman;Times;Serif" w:hAnsi="Times New Roman;Times;Serif"/>
                <w:b w:val="false"/>
                <w:i w:val="false"/>
                <w:caps w:val="false"/>
                <w:smallCaps w:val="false"/>
                <w:sz w:val="20"/>
              </w:rPr>
              <w:t>. All related party transactions are approved in accordance with the requirements and procedures for approval of interested party acts and transaction as set forth in the Companies Law, which requires the approval of the audit committee, or the compensation committee, as the case may be, the board of directors and shareholders, as may be applicable, for specified transactions, rather than approval by the audit committee or other independent body of our board of directors as required under the Nasdaq Listing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4" w:name="a_073"/>
      <w:bookmarkEnd w:id="74"/>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i w:val="false"/>
          <w:caps w:val="false"/>
          <w:smallCaps w:val="false"/>
          <w:sz w:val="20"/>
        </w:rPr>
      </w:pPr>
      <w:bookmarkStart w:id="75" w:name="a_074"/>
      <w:bookmarkEnd w:id="75"/>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6" w:name="a_075"/>
      <w:bookmarkEnd w:id="76"/>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applicable SEC transition guidance, the disclosure required by Item 16J will only be applicable to the Company from the fiscal year ending on December 31, 2024.</w:t>
      </w:r>
    </w:p>
    <w:p>
      <w:pPr>
        <w:pStyle w:val="TextBody"/>
        <w:bidi w:val="0"/>
        <w:spacing w:before="0" w:after="0"/>
        <w:ind w:left="0" w:right="0" w:firstLine="555"/>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 w:name="a_076"/>
      <w:bookmarkEnd w:id="77"/>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maintain a cybersecurity risk management program, consisting of cybersecurity policies, procedures, compliance and awareness programs to mitigate risk and to ensure compliance with security, availability and confidentiality trust principles. The cybersecurity process has been integrated into our overall risk management system and process, and is solely internally managed. Management is responsible for identifying risks that threaten achievement of the control activities stated in the management’s description of the services organizations systems. Management has implemented a process for identifying relevant risks that could affect the organization’s ability to provide secure and reliable service to its users. The risk assessment occurs annually, or as business needs change, and covers identification of risks that could act against the company’s objectives as well as specific risks related to a compromise to the security of data. See “Item 3.D Risk Factors—Risks Related to Our Business and Industry— Our business and operations might be adversely affected by security breaches, including any cybersecurity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each identified risk is determined by considering the impact of the risk itself and the likelihood of the risk materializing and high scoring risks are actioned upon. Risks are analyzed to determine whether the risk meets company risk acceptance criteria to be accepted or whether a mitigation plan will be applied. Mitigation plans include both the individual or department responsible for the plan and may include budget considerations.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oversight of cybersecurity threats is undertaken by our IT Manager, who is a Chief Information Security Officer (CISO) and holds over 15 years of experience in information technology and the design and architecture of information systems, and is supported by management. Our audit committee is responsible for cybersecurity oversight and monitoring risk. Management informs the audit committee of such risk by committee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are not aware of any material risks from cybersecurity threats that have materially affected or are reasonably likely to materially affect us, including our business strategy, results of operations or financial condition.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 w:name="a_077"/>
      <w:bookmarkEnd w:id="78"/>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9" w:name="a_078"/>
      <w:bookmarkEnd w:id="79"/>
      <w:r>
        <w:rPr>
          <w:rFonts w:ascii="Times New Roman;Times;Serif" w:hAnsi="Times New Roman;Times;Serif"/>
          <w:b/>
          <w:i w:val="false"/>
          <w:caps w:val="false"/>
          <w:smallCaps w:val="false"/>
          <w:sz w:val="20"/>
        </w:rPr>
        <w:t>ITEM 17.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and related information pursuant to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 w:name="a_079"/>
      <w:bookmarkEnd w:id="80"/>
      <w:r>
        <w:rPr>
          <w:rFonts w:ascii="Times New Roman;Times;Serif" w:hAnsi="Times New Roman;Times;Serif"/>
          <w:b/>
          <w:i w:val="false"/>
          <w:caps w:val="false"/>
          <w:smallCaps w:val="false"/>
          <w:sz w:val="20"/>
        </w:rPr>
        <w:t>ITEM 18.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the related notes required by this Item are included in this Annual Report on Form 20-F beginning on page 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1" w:name="a_080"/>
      <w:bookmarkEnd w:id="81"/>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Articles of Association of the Company, as currently in effect (included as Exhibit 3.1 to the Registration Statement on Form F-3 as filed with the Securities and Exchange Commission March 15, 2024 and incorporated herein by reference).</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w:anchor="ea020258401ex2-1_railvision.htm">
              <w:r>
                <w:rPr>
                  <w:rStyle w:val="InternetLink"/>
                  <w:rFonts w:ascii="Times New Roman;Times;Serif" w:hAnsi="Times New Roman;Times;Serif"/>
                  <w:b w:val="false"/>
                  <w:i w:val="false"/>
                  <w:caps w:val="false"/>
                  <w:smallCaps w:val="false"/>
                  <w:sz w:val="20"/>
                </w:rPr>
                <w:t>Description of Securities Registered under Section 12 of the Securities Exchange Act of 1934</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Warrant (included as Exhibit 4.3 to the Registration Statement on Form F-1 as filed with the Securities and Exchange Commission March 24, 2022, as amended, and incorporated herein by reference).</w:t>
              </w:r>
            </w:hyperlink>
          </w:p>
        </w:tc>
      </w:tr>
      <w:tr>
        <w:trPr/>
        <w:tc>
          <w:tcPr>
            <w:tcW w:w="9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Underwriter’s Warrant (included as Exhibit 4.1 to our Registration Statement on Form F-1 as filed with the Securities and Exchange Commission on March 24, 2022, and incorporated herein by reference).</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Warrant Agent Agreement (included as Exhibit 4.2 to our Registration Statement on Form F-1 as filed with the Securities and Exchange Commission on March 24, 2022, and incorporated herein by reference).</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Indemnification Agreement (included as Exhibit 10.1 to our Registration Statement on Form F-1 as filed with the Securities and Exchange Commission on March 24, 2022, and incorporated herein by reference).</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w:anchor="ea020258401ex4-4_railvision.htm">
              <w:r>
                <w:rPr>
                  <w:rStyle w:val="InternetLink"/>
                  <w:rFonts w:ascii="Times New Roman;Times;Serif" w:hAnsi="Times New Roman;Times;Serif"/>
                  <w:b w:val="false"/>
                  <w:i w:val="false"/>
                  <w:caps w:val="false"/>
                  <w:smallCaps w:val="false"/>
                  <w:sz w:val="20"/>
                </w:rPr>
                <w:t>Rail Vision Ltd. Amended Share Option Plan, amended as of March 28, 2024</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Compensation Policy (included as Exhibit 10.3 to the Registration Statement on Form F-1 as filed with the Securities and Exchange Commission March 24, 2022, as amended, and incorporated herein by reference).</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Amended and Restated Investors’ Rights Agreement between the Company, Knorr-Bremse and Foresight, dated October 13, 2020 (included as Exhibit 10.4 to our Registration Statement on Form F-1 as filed with the Securities and Exchange Commission on March 24, 2022, and incorporated herein by reference)</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Framework agreement between the Company and Knorr-Bremse Rail Systems Schweiz AG, dated August 2020 (included as Exhibit 10.6 to our Registration Statement on Form F-1 as filed with the Securities and Exchange Commission on March 24, 2022, and incorporated herein by reference).</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Investment Agreement between the Company and Knorr-Bremse, dated October 13, 2020 (included as Exhibit 10.7 to our Registration Statement on Form F-1 as filed with the Securities and Exchange Commission on March 24, 2022, and incorporated herein by reference).</w:t>
              </w:r>
            </w:hyperlink>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Strategic Partnership Agreement by and between the Company and Knorr-Bremse, dated August 19, 2021 (included as Exhibit 10.8 to our Registration Statement on Form F-1 as filed with the Securities and Exchange Commission on March 24, 2022, and incorporated herein by reference).</w:t>
              </w:r>
            </w:hyperlink>
          </w:p>
        </w:tc>
      </w:tr>
      <w:tr>
        <w:trPr/>
        <w:tc>
          <w:tcPr>
            <w:tcW w:w="9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Securities Purchase Agreement (filed as Exhibit 10.1 to our Report on Form 6-K furnished to the Securities and Exchange Commission on May 11, 2023 and incorporated herein by reference).</w:t>
              </w:r>
            </w:hyperlink>
          </w:p>
        </w:tc>
      </w:tr>
      <w:tr>
        <w:trPr/>
        <w:tc>
          <w:tcPr>
            <w:tcW w:w="9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Knorr-Bremse Securities Purchase Agreement (filed as Exhibit 10.2 to our Report on Form 6-K furnished to the Securities and Exchange Commission on May 11, 2023 and incorporated herein by reference).</w:t>
              </w:r>
            </w:hyperlink>
          </w:p>
        </w:tc>
      </w:tr>
      <w:tr>
        <w:trPr/>
        <w:tc>
          <w:tcPr>
            <w:tcW w:w="9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Common Warrant (filed as Exhibit 10.1 to our Report on Form 6-K furnished to the Securities and Exchange Commission on May 15, 2023 and incorporated herein by reference).</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4"/>
        <w:gridCol w:w="60"/>
        <w:gridCol w:w="9721"/>
      </w:tblGrid>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Registration Rights Agreement (filed as Exhibit 10.3 to our Report on Form 6-K furnished to the Securities and Exchange Commission on May 11, 2023 and incorporated herein by reference).</w:t>
              </w:r>
            </w:hyperlink>
          </w:p>
        </w:tc>
      </w:tr>
      <w:tr>
        <w:trPr/>
        <w:tc>
          <w:tcPr>
            <w:tcW w:w="42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Placement Agent Agreement dated May 10, 2023 (filed as Exhibit 10.4 to our Report on Form 6-K furnished to the Securities and Exchange Commission on May 11, 2023 and incorporated herein by reference).</w:t>
              </w:r>
            </w:hyperlink>
          </w:p>
        </w:tc>
      </w:tr>
      <w:tr>
        <w:trPr/>
        <w:tc>
          <w:tcPr>
            <w:tcW w:w="42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Securities Purchase Agreement (filed as Exhibit 99.1 to our Report on Form 6-K furnished to the Securities and Exchange Commission on January 31, 2024 and incorporated herein by reference).</w:t>
              </w:r>
            </w:hyperlink>
          </w:p>
        </w:tc>
      </w:tr>
      <w:tr>
        <w:trPr/>
        <w:tc>
          <w:tcPr>
            <w:tcW w:w="42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Registration Rights Agreement (filed as Exhibit 99.2 to our Report on Form 6-K furnished to the Securities and Exchange Commission on January 31, 2024 and incorporated herein by reference).</w:t>
              </w:r>
            </w:hyperlink>
          </w:p>
        </w:tc>
      </w:tr>
      <w:tr>
        <w:trPr/>
        <w:tc>
          <w:tcPr>
            <w:tcW w:w="42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Pre-Funded Warrant (filed as Exhibit 99.3 to our Report on Form 6-K furnished to the Securities and Exchange Commission on January 31, 2024 and incorporated herein by reference).</w:t>
              </w:r>
            </w:hyperlink>
          </w:p>
        </w:tc>
      </w:tr>
      <w:tr>
        <w:trPr/>
        <w:tc>
          <w:tcPr>
            <w:tcW w:w="42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Common Warrant (filed as Exhibit 99.4 to our Report on Form 6-K furnished to the Securities and Exchange Commission on January 31, 2024 and incorporated herein by reference).</w:t>
              </w:r>
            </w:hyperlink>
          </w:p>
        </w:tc>
      </w:tr>
      <w:tr>
        <w:trPr/>
        <w:tc>
          <w:tcPr>
            <w:tcW w:w="42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Facility Agreement, dated January 9, 2024, between L.I.A. Pure Capital Ltd. and Rail Vision Ltd. (filed as Exhibit 99.1 to our Report on Form 6-K furnished to the Securities and Exchange Commission on January 9, 2024 and incorporated herein by reference).</w:t>
              </w:r>
            </w:hyperlink>
          </w:p>
        </w:tc>
      </w:tr>
      <w:tr>
        <w:trPr/>
        <w:tc>
          <w:tcPr>
            <w:tcW w:w="42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Warrant (filed as Exhibit 99.2 to our Report on Form 6-K furnished to the Securities and Exchange Commission on January 9, 2024 and incorporated herein by reference).</w:t>
              </w:r>
            </w:hyperlink>
          </w:p>
        </w:tc>
      </w:tr>
      <w:tr>
        <w:trPr/>
        <w:tc>
          <w:tcPr>
            <w:tcW w:w="4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w:anchor="ea020258401ex12-1_railvision.htm">
              <w:r>
                <w:rPr>
                  <w:rStyle w:val="InternetLink"/>
                  <w:rFonts w:ascii="Times New Roman;Times;Serif" w:hAnsi="Times New Roman;Times;Serif"/>
                  <w:b w:val="false"/>
                  <w:i w:val="false"/>
                  <w:caps w:val="false"/>
                  <w:smallCaps w:val="false"/>
                  <w:sz w:val="20"/>
                </w:rPr>
                <w:t>Certification of the Chief Executive Officer pursuant to rule 13a-14(a) of the Securities Exchange Act of 1934</w:t>
              </w:r>
            </w:hyperlink>
          </w:p>
        </w:tc>
      </w:tr>
      <w:tr>
        <w:trPr/>
        <w:tc>
          <w:tcPr>
            <w:tcW w:w="4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w:anchor="ea020258401ex12-2_railvision.htm">
              <w:r>
                <w:rPr>
                  <w:rStyle w:val="InternetLink"/>
                  <w:rFonts w:ascii="Times New Roman;Times;Serif" w:hAnsi="Times New Roman;Times;Serif"/>
                  <w:b w:val="false"/>
                  <w:i w:val="false"/>
                  <w:caps w:val="false"/>
                  <w:smallCaps w:val="false"/>
                  <w:sz w:val="20"/>
                </w:rPr>
                <w:t>Certification of the Chief Financial Officer pursuant to rule 13a-14(a) of the Securities Exchange Act of 1934</w:t>
              </w:r>
            </w:hyperlink>
          </w:p>
        </w:tc>
      </w:tr>
      <w:tr>
        <w:trPr/>
        <w:tc>
          <w:tcPr>
            <w:tcW w:w="4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w:anchor="ea020258401ex13-1_railvision.htm">
              <w:r>
                <w:rPr>
                  <w:rStyle w:val="InternetLink"/>
                  <w:rFonts w:ascii="Times New Roman;Times;Serif" w:hAnsi="Times New Roman;Times;Serif"/>
                  <w:b w:val="false"/>
                  <w:i w:val="false"/>
                  <w:caps w:val="false"/>
                  <w:smallCaps w:val="false"/>
                  <w:sz w:val="20"/>
                </w:rPr>
                <w:t>Certification of the Chief Executive Officer pursuant to 18 U.S.C. 1350</w:t>
              </w:r>
            </w:hyperlink>
          </w:p>
        </w:tc>
      </w:tr>
      <w:tr>
        <w:trPr/>
        <w:tc>
          <w:tcPr>
            <w:tcW w:w="4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w:anchor="ea020258401ex13-2_railvision.htm">
              <w:r>
                <w:rPr>
                  <w:rStyle w:val="InternetLink"/>
                  <w:rFonts w:ascii="Times New Roman;Times;Serif" w:hAnsi="Times New Roman;Times;Serif"/>
                  <w:b w:val="false"/>
                  <w:i w:val="false"/>
                  <w:caps w:val="false"/>
                  <w:smallCaps w:val="false"/>
                  <w:sz w:val="20"/>
                </w:rPr>
                <w:t>Certification of the Chief Financial Officer pursuant to 18 U.S.C. 1350</w:t>
              </w:r>
            </w:hyperlink>
          </w:p>
        </w:tc>
      </w:tr>
      <w:tr>
        <w:trPr/>
        <w:tc>
          <w:tcPr>
            <w:tcW w:w="42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w:anchor="ea020258401ex15-1_railvision.htm">
              <w:r>
                <w:rPr>
                  <w:rStyle w:val="InternetLink"/>
                  <w:rFonts w:ascii="Times New Roman;Times;Serif" w:hAnsi="Times New Roman;Times;Serif"/>
                  <w:b w:val="false"/>
                  <w:i w:val="false"/>
                  <w:caps w:val="false"/>
                  <w:smallCaps w:val="false"/>
                  <w:sz w:val="20"/>
                </w:rPr>
                <w:t>Consent of Brightman Almagor Zohar &amp; Co., a Firm in the Deloitte Global Network.</w:t>
              </w:r>
            </w:hyperlink>
          </w:p>
        </w:tc>
      </w:tr>
      <w:tr>
        <w:trPr/>
        <w:tc>
          <w:tcPr>
            <w:tcW w:w="42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pPr>
            <w:hyperlink w:anchor="ea020258401ex97-1_railvision.htm">
              <w:r>
                <w:rPr>
                  <w:rStyle w:val="InternetLink"/>
                  <w:rFonts w:ascii="Times New Roman;Times;Serif" w:hAnsi="Times New Roman;Times;Serif"/>
                  <w:b w:val="false"/>
                  <w:i w:val="false"/>
                  <w:caps w:val="false"/>
                  <w:smallCaps w:val="false"/>
                  <w:sz w:val="20"/>
                </w:rPr>
                <w:t>Executive Officer Clawback Policy</w:t>
              </w:r>
            </w:hyperlink>
          </w:p>
        </w:tc>
      </w:tr>
      <w:tr>
        <w:trPr/>
        <w:tc>
          <w:tcPr>
            <w:tcW w:w="42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2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2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information from Rail Vision Ltd.’s Annual Report on Form 20-F for the year ended December 31, 2023, formatted in Inline Extensible Business Reporting Language (XBRL): (i) Statement of Financial Position, (ii) Statements of Comprehensive Loss, (iii) Statements of Changes in Equity, (iv) Statements of Cash Flows and (iv) Notes to Financial Statements.</w:t>
            </w:r>
          </w:p>
        </w:tc>
      </w:tr>
    </w:tbl>
    <w:p>
      <w:pPr>
        <w:pStyle w:val="TextBody"/>
        <w:bidi w:val="0"/>
        <w:spacing w:before="0" w:after="283"/>
        <w:jc w:val="left"/>
        <w:rPr/>
      </w:pPr>
      <w:r>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 w:name="a_081"/>
      <w:bookmarkEnd w:id="82"/>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Form 20-F filed on its behalf.</w:t>
      </w:r>
    </w:p>
    <w:p>
      <w:pPr>
        <w:pStyle w:val="TextBody"/>
        <w:bidi w:val="0"/>
        <w:spacing w:before="0" w:after="0"/>
        <w:ind w:left="0" w:right="0" w:hanging="0"/>
        <w:jc w:val="left"/>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1805"/>
        <w:gridCol w:w="320"/>
        <w:gridCol w:w="195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28, 2024</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Shahar Hania</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Shahar Hania</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r>
        <w:rPr>
          <w:rFonts w:ascii="Times New Roman;Times;Serif" w:hAnsi="Times New Roman;Times;Serif"/>
          <w:b/>
          <w:i w:val="false"/>
          <w:caps w:val="false"/>
          <w:smallCaps w:val="false"/>
          <w:sz w:val="28"/>
          <w:u w:val="single"/>
        </w:rPr>
        <w:t>Rail Vision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 of 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Rail Vision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 of 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940"/>
        <w:gridCol w:w="1010"/>
      </w:tblGrid>
      <w:tr>
        <w:trPr/>
        <w:tc>
          <w:tcPr>
            <w:tcW w:w="7940" w:type="dxa"/>
            <w:tcBorders/>
            <w:vAlign w:val="center"/>
          </w:tcPr>
          <w:p>
            <w:pPr>
              <w:pStyle w:val="TableContents"/>
              <w:bidi w:val="0"/>
              <w:spacing w:before="0" w:after="283"/>
              <w:jc w:val="both"/>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Page</w:t>
            </w:r>
          </w:p>
        </w:tc>
      </w:tr>
      <w:tr>
        <w:trPr/>
        <w:tc>
          <w:tcPr>
            <w:tcW w:w="794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center"/>
              <w:rPr/>
            </w:pPr>
            <w:r>
              <w:rPr/>
              <w:t> </w:t>
            </w:r>
          </w:p>
        </w:tc>
      </w:tr>
      <w:tr>
        <w:trPr/>
        <w:tc>
          <w:tcPr>
            <w:tcW w:w="7940" w:type="dxa"/>
            <w:tcBorders/>
            <w:shd w:fill="CCEEFF" w:val="clear"/>
            <w:vAlign w:val="center"/>
          </w:tcPr>
          <w:p>
            <w:pPr>
              <w:pStyle w:val="TableContents"/>
              <w:bidi w:val="0"/>
              <w:spacing w:before="0" w:after="283"/>
              <w:jc w:val="both"/>
              <w:rPr/>
            </w:pPr>
            <w:hyperlink w:anchor="f_001">
              <w:r>
                <w:rPr>
                  <w:rStyle w:val="InternetLink"/>
                  <w:rFonts w:ascii="Times New Roman;Times;Serif" w:hAnsi="Times New Roman;Times;Serif"/>
                  <w:b/>
                </w:rPr>
                <w:t>Report of Independent Registered Public Accounting Firm (PCAOB ID 1197)</w:t>
              </w:r>
            </w:hyperlink>
          </w:p>
        </w:tc>
        <w:tc>
          <w:tcPr>
            <w:tcW w:w="10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F-2</w:t>
            </w:r>
          </w:p>
        </w:tc>
      </w:tr>
      <w:tr>
        <w:trPr/>
        <w:tc>
          <w:tcPr>
            <w:tcW w:w="794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center"/>
              <w:rPr/>
            </w:pPr>
            <w:r>
              <w:rPr/>
              <w:t> </w:t>
            </w:r>
          </w:p>
        </w:tc>
      </w:tr>
      <w:tr>
        <w:trPr/>
        <w:tc>
          <w:tcPr>
            <w:tcW w:w="7940" w:type="dxa"/>
            <w:tcBorders/>
            <w:shd w:fill="CCEEFF" w:val="clear"/>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Financial Statements:</w:t>
            </w:r>
          </w:p>
        </w:tc>
        <w:tc>
          <w:tcPr>
            <w:tcW w:w="1010" w:type="dxa"/>
            <w:tcBorders/>
            <w:shd w:fill="CCEEFF" w:val="clear"/>
            <w:vAlign w:val="center"/>
          </w:tcPr>
          <w:p>
            <w:pPr>
              <w:pStyle w:val="TableContents"/>
              <w:bidi w:val="0"/>
              <w:spacing w:before="0" w:after="283"/>
              <w:jc w:val="center"/>
              <w:rPr/>
            </w:pPr>
            <w:r>
              <w:rPr/>
              <w:t> </w:t>
            </w:r>
          </w:p>
        </w:tc>
      </w:tr>
      <w:tr>
        <w:trPr/>
        <w:tc>
          <w:tcPr>
            <w:tcW w:w="794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center"/>
              <w:rPr/>
            </w:pPr>
            <w:r>
              <w:rPr/>
              <w:t> </w:t>
            </w:r>
          </w:p>
        </w:tc>
      </w:tr>
      <w:tr>
        <w:trPr/>
        <w:tc>
          <w:tcPr>
            <w:tcW w:w="7940" w:type="dxa"/>
            <w:tcBorders/>
            <w:shd w:fill="CCEEFF" w:val="clear"/>
            <w:vAlign w:val="center"/>
          </w:tcPr>
          <w:p>
            <w:pPr>
              <w:pStyle w:val="TableContents"/>
              <w:bidi w:val="0"/>
              <w:spacing w:before="0" w:after="283"/>
              <w:jc w:val="both"/>
              <w:rPr/>
            </w:pPr>
            <w:hyperlink w:anchor="f_002">
              <w:r>
                <w:rPr>
                  <w:rStyle w:val="InternetLink"/>
                  <w:rFonts w:ascii="Times New Roman;Times;Serif" w:hAnsi="Times New Roman;Times;Serif"/>
                </w:rPr>
                <w:t>Balance Sheets</w:t>
              </w:r>
            </w:hyperlink>
          </w:p>
        </w:tc>
        <w:tc>
          <w:tcPr>
            <w:tcW w:w="10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F-3</w:t>
            </w:r>
          </w:p>
        </w:tc>
      </w:tr>
      <w:tr>
        <w:trPr/>
        <w:tc>
          <w:tcPr>
            <w:tcW w:w="794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center"/>
              <w:rPr/>
            </w:pPr>
            <w:r>
              <w:rPr/>
              <w:t> </w:t>
            </w:r>
          </w:p>
        </w:tc>
      </w:tr>
      <w:tr>
        <w:trPr/>
        <w:tc>
          <w:tcPr>
            <w:tcW w:w="7940" w:type="dxa"/>
            <w:tcBorders/>
            <w:shd w:fill="CCEEFF" w:val="clear"/>
            <w:vAlign w:val="center"/>
          </w:tcPr>
          <w:p>
            <w:pPr>
              <w:pStyle w:val="TableContents"/>
              <w:bidi w:val="0"/>
              <w:spacing w:before="0" w:after="283"/>
              <w:jc w:val="both"/>
              <w:rPr/>
            </w:pPr>
            <w:hyperlink w:anchor="f_003">
              <w:r>
                <w:rPr>
                  <w:rStyle w:val="InternetLink"/>
                  <w:rFonts w:ascii="Times New Roman;Times;Serif" w:hAnsi="Times New Roman;Times;Serif"/>
                </w:rPr>
                <w:t>Statements of Comprehensive Loss</w:t>
              </w:r>
            </w:hyperlink>
          </w:p>
        </w:tc>
        <w:tc>
          <w:tcPr>
            <w:tcW w:w="10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F-4</w:t>
            </w:r>
          </w:p>
        </w:tc>
      </w:tr>
      <w:tr>
        <w:trPr/>
        <w:tc>
          <w:tcPr>
            <w:tcW w:w="794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center"/>
              <w:rPr/>
            </w:pPr>
            <w:r>
              <w:rPr/>
              <w:t> </w:t>
            </w:r>
          </w:p>
        </w:tc>
      </w:tr>
      <w:tr>
        <w:trPr/>
        <w:tc>
          <w:tcPr>
            <w:tcW w:w="7940" w:type="dxa"/>
            <w:tcBorders/>
            <w:shd w:fill="CCEEFF" w:val="clear"/>
            <w:vAlign w:val="center"/>
          </w:tcPr>
          <w:p>
            <w:pPr>
              <w:pStyle w:val="TableContents"/>
              <w:bidi w:val="0"/>
              <w:spacing w:before="0" w:after="283"/>
              <w:jc w:val="both"/>
              <w:rPr/>
            </w:pPr>
            <w:hyperlink w:anchor="f_004">
              <w:r>
                <w:rPr>
                  <w:rStyle w:val="InternetLink"/>
                  <w:rFonts w:ascii="Times New Roman;Times;Serif" w:hAnsi="Times New Roman;Times;Serif"/>
                </w:rPr>
                <w:t>Statements of Convertible Preferred Shares and Changes in Shareholders’ Equity</w:t>
              </w:r>
            </w:hyperlink>
          </w:p>
        </w:tc>
        <w:tc>
          <w:tcPr>
            <w:tcW w:w="10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F-5 - F-6</w:t>
            </w:r>
          </w:p>
        </w:tc>
      </w:tr>
      <w:tr>
        <w:trPr/>
        <w:tc>
          <w:tcPr>
            <w:tcW w:w="794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center"/>
              <w:rPr/>
            </w:pPr>
            <w:r>
              <w:rPr/>
              <w:t> </w:t>
            </w:r>
          </w:p>
        </w:tc>
      </w:tr>
      <w:tr>
        <w:trPr/>
        <w:tc>
          <w:tcPr>
            <w:tcW w:w="7940" w:type="dxa"/>
            <w:tcBorders/>
            <w:shd w:fill="CCEEFF" w:val="clear"/>
            <w:vAlign w:val="center"/>
          </w:tcPr>
          <w:p>
            <w:pPr>
              <w:pStyle w:val="TableContents"/>
              <w:bidi w:val="0"/>
              <w:spacing w:before="0" w:after="283"/>
              <w:jc w:val="both"/>
              <w:rPr/>
            </w:pPr>
            <w:hyperlink w:anchor="f_005">
              <w:r>
                <w:rPr>
                  <w:rStyle w:val="InternetLink"/>
                  <w:rFonts w:ascii="Times New Roman;Times;Serif" w:hAnsi="Times New Roman;Times;Serif"/>
                </w:rPr>
                <w:t>Statements of Cash Flows</w:t>
              </w:r>
            </w:hyperlink>
          </w:p>
        </w:tc>
        <w:tc>
          <w:tcPr>
            <w:tcW w:w="10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F-7</w:t>
            </w:r>
          </w:p>
        </w:tc>
      </w:tr>
      <w:tr>
        <w:trPr/>
        <w:tc>
          <w:tcPr>
            <w:tcW w:w="7940" w:type="dxa"/>
            <w:tcBorders/>
            <w:vAlign w:val="center"/>
          </w:tcPr>
          <w:p>
            <w:pPr>
              <w:pStyle w:val="TableContents"/>
              <w:bidi w:val="0"/>
              <w:spacing w:before="0" w:after="283"/>
              <w:jc w:val="both"/>
              <w:rPr/>
            </w:pPr>
            <w:r>
              <w:rPr/>
              <w:t> </w:t>
            </w:r>
          </w:p>
        </w:tc>
        <w:tc>
          <w:tcPr>
            <w:tcW w:w="1010" w:type="dxa"/>
            <w:tcBorders/>
            <w:vAlign w:val="center"/>
          </w:tcPr>
          <w:p>
            <w:pPr>
              <w:pStyle w:val="TableContents"/>
              <w:bidi w:val="0"/>
              <w:spacing w:before="0" w:after="283"/>
              <w:jc w:val="center"/>
              <w:rPr/>
            </w:pPr>
            <w:r>
              <w:rPr/>
              <w:t> </w:t>
            </w:r>
          </w:p>
        </w:tc>
      </w:tr>
      <w:tr>
        <w:trPr/>
        <w:tc>
          <w:tcPr>
            <w:tcW w:w="7940" w:type="dxa"/>
            <w:tcBorders/>
            <w:shd w:fill="CCEEFF" w:val="clear"/>
            <w:vAlign w:val="center"/>
          </w:tcPr>
          <w:p>
            <w:pPr>
              <w:pStyle w:val="TableContents"/>
              <w:bidi w:val="0"/>
              <w:spacing w:before="0" w:after="283"/>
              <w:jc w:val="both"/>
              <w:rPr/>
            </w:pPr>
            <w:hyperlink w:anchor="f_006">
              <w:r>
                <w:rPr>
                  <w:rStyle w:val="InternetLink"/>
                  <w:rFonts w:ascii="Times New Roman;Times;Serif" w:hAnsi="Times New Roman;Times;Serif"/>
                </w:rPr>
                <w:t>Notes to the Financial Statements</w:t>
              </w:r>
            </w:hyperlink>
          </w:p>
        </w:tc>
        <w:tc>
          <w:tcPr>
            <w:tcW w:w="1010" w:type="dxa"/>
            <w:tcBorders/>
            <w:shd w:fill="CCEEFF" w:val="clear"/>
            <w:vAlign w:val="center"/>
          </w:tcPr>
          <w:p>
            <w:pPr>
              <w:pStyle w:val="TableContents"/>
              <w:bidi w:val="0"/>
              <w:spacing w:before="0" w:after="283"/>
              <w:jc w:val="center"/>
              <w:rPr/>
            </w:pPr>
            <w:r>
              <w:rPr/>
              <w:t>F-</w:t>
            </w:r>
            <w:r>
              <w:rPr>
                <w:rFonts w:ascii="Times New Roman;Times;Serif" w:hAnsi="Times New Roman;Times;Serif"/>
              </w:rPr>
              <w:t>8 - F-26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83" w:name="f_001"/>
      <w:bookmarkEnd w:id="83"/>
      <w:r>
        <w:rPr>
          <w:caps w:val="false"/>
          <w:smallCaps w:val="false"/>
        </w:rPr>
        <w:drawing>
          <wp:inline distT="0" distB="0" distL="0" distR="0">
            <wp:extent cx="2019300"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
                    <a:stretch>
                      <a:fillRect/>
                    </a:stretch>
                  </pic:blipFill>
                  <pic:spPr bwMode="auto">
                    <a:xfrm>
                      <a:off x="0" y="0"/>
                      <a:ext cx="2019300" cy="428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p>
      <w:pPr>
        <w:pStyle w:val="TextBody"/>
        <w:bidi w:val="0"/>
        <w:spacing w:before="0" w:after="0"/>
        <w:ind w:left="0" w:right="0" w:firstLine="13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sheets of Rail Vision Ltd. (the “Company”) as of December 31, 2023 and 2022 and the related statements of comprehensive loss, change in convertible preferred shares and shareholders’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tbl>
      <w:tblPr>
        <w:tblW w:w="3800" w:type="dxa"/>
        <w:jc w:val="left"/>
        <w:tblInd w:w="0" w:type="dxa"/>
        <w:tblLayout w:type="fixed"/>
        <w:tblCellMar>
          <w:top w:w="0" w:type="dxa"/>
          <w:left w:w="0" w:type="dxa"/>
          <w:bottom w:w="28" w:type="dxa"/>
          <w:right w:w="0" w:type="dxa"/>
        </w:tblCellMar>
      </w:tblPr>
      <w:tblGrid>
        <w:gridCol w:w="3725"/>
        <w:gridCol w:w="75"/>
      </w:tblGrid>
      <w:tr>
        <w:trPr/>
        <w:tc>
          <w:tcPr>
            <w:tcW w:w="3725" w:type="dxa"/>
            <w:tcBorders>
              <w:bottom w:val="single" w:sz="12" w:space="0" w:color="000000"/>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Brightman Almagor Zohar &amp; Co.</w:t>
            </w:r>
          </w:p>
        </w:tc>
        <w:tc>
          <w:tcPr>
            <w:tcW w:w="75" w:type="dxa"/>
            <w:tcBorders/>
            <w:tcMar>
              <w:bottom w:w="0" w:type="dxa"/>
            </w:tcMar>
            <w:vAlign w:val="center"/>
          </w:tcPr>
          <w:p>
            <w:pPr>
              <w:pStyle w:val="TableContents"/>
              <w:bidi w:val="0"/>
              <w:spacing w:before="0" w:after="283"/>
              <w:jc w:val="both"/>
              <w:rPr/>
            </w:pPr>
            <w:r>
              <w:rPr/>
              <w:t> </w:t>
            </w:r>
          </w:p>
        </w:tc>
      </w:tr>
      <w:tr>
        <w:trPr/>
        <w:tc>
          <w:tcPr>
            <w:tcW w:w="372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Certified Public Accountants</w:t>
            </w:r>
          </w:p>
        </w:tc>
        <w:tc>
          <w:tcPr>
            <w:tcW w:w="75" w:type="dxa"/>
            <w:tcBorders/>
            <w:tcMar>
              <w:bottom w:w="0" w:type="dxa"/>
            </w:tcMar>
            <w:vAlign w:val="center"/>
          </w:tcPr>
          <w:p>
            <w:pPr>
              <w:pStyle w:val="TableContents"/>
              <w:bidi w:val="0"/>
              <w:spacing w:before="0" w:after="283"/>
              <w:jc w:val="both"/>
              <w:rPr/>
            </w:pPr>
            <w:r>
              <w:rPr/>
              <w:t> </w:t>
            </w:r>
          </w:p>
        </w:tc>
      </w:tr>
      <w:tr>
        <w:trPr/>
        <w:tc>
          <w:tcPr>
            <w:tcW w:w="372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Firm in the Deloitte Global Network</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267450" cy="1371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8"/>
                    <a:stretch>
                      <a:fillRect/>
                    </a:stretch>
                  </pic:blipFill>
                  <pic:spPr bwMode="auto">
                    <a:xfrm>
                      <a:off x="0" y="0"/>
                      <a:ext cx="6267450" cy="13716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4" w:name="f_002"/>
      <w:bookmarkEnd w:id="84"/>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Balance Sheets</w:t>
      </w:r>
      <w:r>
        <w:rPr>
          <w:rFonts w:ascii="Times New Roman;Times;Serif" w:hAnsi="Times New Roman;Times;Serif"/>
          <w:b w:val="false"/>
          <w:i w:val="false"/>
          <w:caps w:val="false"/>
          <w:smallCaps w:val="false"/>
          <w:sz w:val="20"/>
        </w:rPr>
        <w:b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7"/>
        <w:gridCol w:w="60"/>
        <w:gridCol w:w="500"/>
        <w:gridCol w:w="60"/>
        <w:gridCol w:w="144"/>
        <w:gridCol w:w="777"/>
        <w:gridCol w:w="97"/>
        <w:gridCol w:w="61"/>
        <w:gridCol w:w="61"/>
        <w:gridCol w:w="777"/>
        <w:gridCol w:w="111"/>
      </w:tblGrid>
      <w:tr>
        <w:trPr/>
        <w:tc>
          <w:tcPr>
            <w:tcW w:w="7557"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1" w:type="dxa"/>
            <w:gridSpan w:val="2"/>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38"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1"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38"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1"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38"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b/>
                <w:u w:val="single"/>
              </w:rPr>
            </w:pPr>
            <w:r>
              <w:rPr>
                <w:b/>
                <w:u w:val="single"/>
              </w:rPr>
              <w:t>Current 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1"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38"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3,066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8,270</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7557" w:type="dxa"/>
            <w:tcBorders/>
            <w:vAlign w:val="center"/>
          </w:tcPr>
          <w:p>
            <w:pPr>
              <w:pStyle w:val="TableContents"/>
              <w:bidi w:val="0"/>
              <w:spacing w:before="0" w:after="283"/>
              <w:jc w:val="both"/>
              <w:rPr/>
            </w:pPr>
            <w:r>
              <w:rPr/>
              <w:t>Restricted cash</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223</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222</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0"/>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115</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Inventories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977</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0"/>
              <w:jc w:val="right"/>
              <w:rPr/>
            </w:pPr>
            <w:r>
              <w:rPr/>
              <w:t>--</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336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225</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b/>
              </w:rPr>
            </w:pPr>
            <w:r>
              <w:rPr>
                <w:b/>
              </w:rPr>
              <w:t>Total current 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4,602</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8,832</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Operating lease - right of use asset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14</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889</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1,151</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Fixed assets, net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430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449</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1,319</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1,600</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b/>
              </w:rPr>
            </w:pPr>
            <w:r>
              <w:rPr>
                <w:b/>
              </w:rPr>
              <w:t>TOTAL 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10" w:space="0" w:color="000000"/>
            </w:tcBorders>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tcMar>
              <w:bottom w:w="28" w:type="dxa"/>
            </w:tcMar>
            <w:vAlign w:val="center"/>
          </w:tcPr>
          <w:p>
            <w:pPr>
              <w:pStyle w:val="TableContents"/>
              <w:bidi w:val="0"/>
              <w:spacing w:before="0" w:after="283"/>
              <w:jc w:val="right"/>
              <w:rPr/>
            </w:pPr>
            <w:r>
              <w:rPr/>
              <w:t>5,921</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double" w:sz="10" w:space="0" w:color="000000"/>
            </w:tcBorders>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tcMar>
              <w:bottom w:w="28" w:type="dxa"/>
            </w:tcMar>
            <w:vAlign w:val="center"/>
          </w:tcPr>
          <w:p>
            <w:pPr>
              <w:pStyle w:val="TableContents"/>
              <w:bidi w:val="0"/>
              <w:spacing w:before="0" w:after="283"/>
              <w:jc w:val="right"/>
              <w:rPr/>
            </w:pPr>
            <w:r>
              <w:rPr/>
              <w:t>10,432</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left"/>
              <w:rPr>
                <w:b/>
                <w:u w:val="single"/>
              </w:rPr>
            </w:pPr>
            <w:r>
              <w:rPr>
                <w:b/>
                <w:u w:val="single"/>
              </w:rPr>
              <w:t>LIABILITIES AND SHAREHOLDERS’ EQUITY</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b/>
                <w:u w:val="single"/>
              </w:rPr>
            </w:pPr>
            <w:r>
              <w:rPr>
                <w:b/>
                <w:u w:val="single"/>
              </w:rPr>
              <w:t>Current liabilities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Trade accounts payable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185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56</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Current operating lease liability</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14</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285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281</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Other accounts payable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2,140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center"/>
          </w:tcPr>
          <w:p>
            <w:pPr>
              <w:pStyle w:val="TableContents"/>
              <w:bidi w:val="0"/>
              <w:spacing w:before="0" w:after="283"/>
              <w:jc w:val="right"/>
              <w:rPr/>
            </w:pPr>
            <w:r>
              <w:rPr/>
              <w:t>1,032</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b/>
              </w:rPr>
            </w:pPr>
            <w:r>
              <w:rPr>
                <w:b/>
              </w:rPr>
              <w:t>Total current liabilities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2,610</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1,369</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Non-current operating lease liability</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14</w:t>
            </w:r>
          </w:p>
        </w:tc>
        <w:tc>
          <w:tcPr>
            <w:tcW w:w="60" w:type="dxa"/>
            <w:tcBorders/>
            <w:vAlign w:val="center"/>
          </w:tcPr>
          <w:p>
            <w:pPr>
              <w:pStyle w:val="TableContents"/>
              <w:bidi w:val="0"/>
              <w:spacing w:before="0" w:after="283"/>
              <w:jc w:val="left"/>
              <w:rPr/>
            </w:pPr>
            <w:r>
              <w:rPr/>
              <w:t> </w:t>
            </w:r>
          </w:p>
        </w:tc>
        <w:tc>
          <w:tcPr>
            <w:tcW w:w="14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524</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798</w:t>
            </w:r>
          </w:p>
        </w:tc>
        <w:tc>
          <w:tcPr>
            <w:tcW w:w="111" w:type="dxa"/>
            <w:tcBorders>
              <w:bottom w:val="single" w:sz="12" w:space="0" w:color="000000"/>
            </w:tcBorders>
            <w:tcMar>
              <w:bottom w:w="28" w:type="dxa"/>
            </w:tcMar>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b/>
              </w:rPr>
            </w:pPr>
            <w:r>
              <w:rPr>
                <w:b/>
              </w:rPr>
              <w:t>TOTAL LIABILITIES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10" w:space="0" w:color="000000"/>
            </w:tcBorders>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tcMar>
              <w:bottom w:w="28" w:type="dxa"/>
            </w:tcMar>
            <w:vAlign w:val="center"/>
          </w:tcPr>
          <w:p>
            <w:pPr>
              <w:pStyle w:val="TableContents"/>
              <w:bidi w:val="0"/>
              <w:spacing w:before="0" w:after="283"/>
              <w:jc w:val="right"/>
              <w:rPr/>
            </w:pPr>
            <w:r>
              <w:rPr/>
              <w:t>3,134</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double" w:sz="10" w:space="0" w:color="000000"/>
            </w:tcBorders>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tcMar>
              <w:bottom w:w="28" w:type="dxa"/>
            </w:tcMar>
            <w:vAlign w:val="center"/>
          </w:tcPr>
          <w:p>
            <w:pPr>
              <w:pStyle w:val="TableContents"/>
              <w:bidi w:val="0"/>
              <w:spacing w:before="0" w:after="283"/>
              <w:jc w:val="right"/>
              <w:rPr/>
            </w:pPr>
            <w:r>
              <w:rPr/>
              <w:t>2,167</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b/>
                <w:u w:val="single"/>
              </w:rPr>
            </w:pPr>
            <w:r>
              <w:rPr>
                <w:b/>
                <w:u w:val="single"/>
              </w:rPr>
              <w:t>Shareholders’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left"/>
              <w:rPr/>
            </w:pPr>
            <w:r>
              <w:rPr/>
              <w:t>Ordinary shares, NIS 0.08 par value; Authorized 12,500,000 shares; Issued and outstanding: 2,998,278 and 1,987,005 shares as of December 31, 2023 and 2022</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68</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46</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both"/>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68,681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63,033</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Accumulated deficit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(65,962</w:t>
            </w:r>
          </w:p>
        </w:tc>
        <w:tc>
          <w:tcPr>
            <w:tcW w:w="97" w:type="dxa"/>
            <w:tcBorders/>
            <w:vAlign w:val="center"/>
          </w:tcPr>
          <w:p>
            <w:pPr>
              <w:pStyle w:val="TableContents"/>
              <w:bidi w:val="0"/>
              <w:spacing w:before="0" w:after="283"/>
              <w:jc w:val="left"/>
              <w:rPr/>
            </w:pPr>
            <w:r>
              <w:rPr/>
              <w:t>)</w:t>
            </w:r>
          </w:p>
        </w:tc>
        <w:tc>
          <w:tcPr>
            <w:tcW w:w="61"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(54,814</w:t>
            </w:r>
          </w:p>
        </w:tc>
        <w:tc>
          <w:tcPr>
            <w:tcW w:w="111" w:type="dxa"/>
            <w:tcBorders/>
            <w:vAlign w:val="center"/>
          </w:tcPr>
          <w:p>
            <w:pPr>
              <w:pStyle w:val="TableContents"/>
              <w:bidi w:val="0"/>
              <w:spacing w:before="0" w:after="283"/>
              <w:ind w:left="0" w:right="0" w:hanging="180"/>
              <w:jc w:val="left"/>
              <w:rPr/>
            </w:pPr>
            <w:r>
              <w:rPr/>
              <w:t>)</w:t>
            </w:r>
          </w:p>
        </w:tc>
      </w:tr>
      <w:tr>
        <w:trPr/>
        <w:tc>
          <w:tcPr>
            <w:tcW w:w="7557" w:type="dxa"/>
            <w:tcBorders/>
            <w:shd w:fill="CCEEFF" w:val="clear"/>
            <w:vAlign w:val="center"/>
          </w:tcPr>
          <w:p>
            <w:pPr>
              <w:pStyle w:val="TableContents"/>
              <w:bidi w:val="0"/>
              <w:spacing w:before="0" w:after="283"/>
              <w:jc w:val="both"/>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2,787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8,265</w:t>
            </w:r>
          </w:p>
        </w:tc>
        <w:tc>
          <w:tcPr>
            <w:tcW w:w="111" w:type="dxa"/>
            <w:tcBorders>
              <w:bottom w:val="double" w:sz="10" w:space="0" w:color="000000"/>
            </w:tcBorders>
            <w:shd w:fill="CCEEFF" w:val="clear"/>
            <w:tcMar>
              <w:bottom w:w="28" w:type="dxa"/>
            </w:tcMar>
            <w:vAlign w:val="center"/>
          </w:tcPr>
          <w:p>
            <w:pPr>
              <w:pStyle w:val="TableContents"/>
              <w:bidi w:val="0"/>
              <w:spacing w:before="0" w:after="283"/>
              <w:ind w:left="0" w:right="0" w:hanging="180"/>
              <w:jc w:val="left"/>
              <w:rPr/>
            </w:pPr>
            <w:r>
              <w:rPr/>
              <w:t> </w:t>
            </w:r>
          </w:p>
        </w:tc>
      </w:tr>
      <w:tr>
        <w:trPr/>
        <w:tc>
          <w:tcPr>
            <w:tcW w:w="755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7557"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5,921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10,432</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5" w:name="f_003"/>
      <w:bookmarkEnd w:id="85"/>
      <w:r>
        <w:rPr>
          <w:rFonts w:ascii="Times New Roman;Times;Serif" w:hAnsi="Times New Roman;Times;Serif"/>
          <w:b/>
          <w:i w:val="false"/>
          <w:caps w:val="false"/>
          <w:smallCaps w:val="false"/>
          <w:sz w:val="20"/>
        </w:rPr>
        <w:t xml:space="preserve">Rail Vision Ltd.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Comprehensive Loss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4"/>
        <w:gridCol w:w="60"/>
        <w:gridCol w:w="500"/>
        <w:gridCol w:w="60"/>
        <w:gridCol w:w="140"/>
        <w:gridCol w:w="980"/>
        <w:gridCol w:w="95"/>
        <w:gridCol w:w="60"/>
        <w:gridCol w:w="140"/>
        <w:gridCol w:w="980"/>
        <w:gridCol w:w="155"/>
        <w:gridCol w:w="60"/>
        <w:gridCol w:w="140"/>
        <w:gridCol w:w="980"/>
        <w:gridCol w:w="91"/>
      </w:tblGrid>
      <w:tr>
        <w:trPr/>
        <w:tc>
          <w:tcPr>
            <w:tcW w:w="5764"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91" w:type="dxa"/>
            <w:tcBorders/>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91" w:type="dxa"/>
            <w:tcBorders/>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ind w:left="0" w:right="0" w:hanging="180"/>
              <w:jc w:val="left"/>
              <w:rPr/>
            </w:pPr>
            <w:r>
              <w:rPr/>
              <w:t> </w:t>
            </w:r>
          </w:p>
        </w:tc>
      </w:tr>
      <w:tr>
        <w:trPr/>
        <w:tc>
          <w:tcPr>
            <w:tcW w:w="5764"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888</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283"/>
              <w:jc w:val="both"/>
              <w:rPr/>
            </w:pPr>
            <w:r>
              <w:rPr/>
              <w:t>Cost of revenues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(61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(661</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(657</w:t>
            </w:r>
          </w:p>
        </w:tc>
        <w:tc>
          <w:tcPr>
            <w:tcW w:w="91" w:type="dxa"/>
            <w:tcBorders/>
            <w:vAlign w:val="center"/>
          </w:tcPr>
          <w:p>
            <w:pPr>
              <w:pStyle w:val="TableContents"/>
              <w:bidi w:val="0"/>
              <w:spacing w:before="0" w:after="283"/>
              <w:ind w:left="0" w:right="0" w:hanging="180"/>
              <w:jc w:val="left"/>
              <w:rPr/>
            </w:pPr>
            <w:r>
              <w:rPr/>
              <w:t>)</w:t>
            </w:r>
          </w:p>
        </w:tc>
      </w:tr>
      <w:tr>
        <w:trPr/>
        <w:tc>
          <w:tcPr>
            <w:tcW w:w="5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283"/>
              <w:jc w:val="both"/>
              <w:rPr/>
            </w:pPr>
            <w:r>
              <w:rPr>
                <w:b/>
              </w:rPr>
              <w:t>Gross profit</w:t>
            </w:r>
            <w:r>
              <w:rPr/>
              <w:t xml:space="preserve"> (loss)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(240</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231</w:t>
            </w:r>
          </w:p>
        </w:tc>
        <w:tc>
          <w:tcPr>
            <w:tcW w:w="91" w:type="dxa"/>
            <w:tcBorders/>
            <w:vAlign w:val="center"/>
          </w:tcPr>
          <w:p>
            <w:pPr>
              <w:pStyle w:val="TableContents"/>
              <w:bidi w:val="0"/>
              <w:spacing w:before="0" w:after="283"/>
              <w:ind w:left="0" w:right="0" w:hanging="180"/>
              <w:jc w:val="left"/>
              <w:rPr/>
            </w:pPr>
            <w:r>
              <w:rPr/>
              <w:t> </w:t>
            </w:r>
          </w:p>
        </w:tc>
      </w:tr>
      <w:tr>
        <w:trPr/>
        <w:tc>
          <w:tcPr>
            <w:tcW w:w="5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283"/>
              <w:jc w:val="both"/>
              <w:rPr/>
            </w:pPr>
            <w:r>
              <w:rPr/>
              <w:t>Research and development expenses, net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(7,145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(6,230</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(7,208</w:t>
            </w:r>
          </w:p>
        </w:tc>
        <w:tc>
          <w:tcPr>
            <w:tcW w:w="91" w:type="dxa"/>
            <w:tcBorders/>
            <w:vAlign w:val="center"/>
          </w:tcPr>
          <w:p>
            <w:pPr>
              <w:pStyle w:val="TableContents"/>
              <w:bidi w:val="0"/>
              <w:spacing w:before="0" w:after="283"/>
              <w:ind w:left="0" w:right="0" w:hanging="180"/>
              <w:jc w:val="left"/>
              <w:rPr/>
            </w:pPr>
            <w:r>
              <w:rPr/>
              <w:t>)</w:t>
            </w:r>
          </w:p>
        </w:tc>
      </w:tr>
      <w:tr>
        <w:trPr/>
        <w:tc>
          <w:tcPr>
            <w:tcW w:w="5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283"/>
              <w:jc w:val="both"/>
              <w:rPr/>
            </w:pPr>
            <w:r>
              <w:rPr/>
              <w:t>General and administrative expenses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(4,339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(4,265</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(3,316</w:t>
            </w:r>
          </w:p>
        </w:tc>
        <w:tc>
          <w:tcPr>
            <w:tcW w:w="91" w:type="dxa"/>
            <w:tcBorders/>
            <w:vAlign w:val="center"/>
          </w:tcPr>
          <w:p>
            <w:pPr>
              <w:pStyle w:val="TableContents"/>
              <w:bidi w:val="0"/>
              <w:spacing w:before="0" w:after="283"/>
              <w:ind w:left="0" w:right="0" w:hanging="180"/>
              <w:jc w:val="left"/>
              <w:rPr/>
            </w:pPr>
            <w:r>
              <w:rPr/>
              <w:t>)</w:t>
            </w:r>
          </w:p>
        </w:tc>
      </w:tr>
      <w:tr>
        <w:trPr/>
        <w:tc>
          <w:tcPr>
            <w:tcW w:w="5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283"/>
              <w:jc w:val="both"/>
              <w:rPr>
                <w:b/>
              </w:rPr>
            </w:pPr>
            <w:r>
              <w:rPr>
                <w:b/>
              </w:rPr>
              <w:t>Operating loss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(10,735</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(10,293</w:t>
            </w:r>
          </w:p>
        </w:tc>
        <w:tc>
          <w:tcPr>
            <w:tcW w:w="91" w:type="dxa"/>
            <w:tcBorders/>
            <w:vAlign w:val="center"/>
          </w:tcPr>
          <w:p>
            <w:pPr>
              <w:pStyle w:val="TableContents"/>
              <w:bidi w:val="0"/>
              <w:spacing w:before="0" w:after="283"/>
              <w:ind w:left="0" w:right="0" w:hanging="180"/>
              <w:jc w:val="left"/>
              <w:rPr/>
            </w:pPr>
            <w:r>
              <w:rPr/>
              <w:t>)</w:t>
            </w:r>
          </w:p>
        </w:tc>
      </w:tr>
      <w:tr>
        <w:trPr/>
        <w:tc>
          <w:tcPr>
            <w:tcW w:w="5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283"/>
              <w:jc w:val="both"/>
              <w:rPr/>
            </w:pPr>
            <w:r>
              <w:rPr/>
              <w:t>Financial income, net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73</w:t>
            </w:r>
          </w:p>
        </w:tc>
        <w:tc>
          <w:tcPr>
            <w:tcW w:w="91" w:type="dxa"/>
            <w:tcBorders/>
            <w:vAlign w:val="center"/>
          </w:tcPr>
          <w:p>
            <w:pPr>
              <w:pStyle w:val="TableContents"/>
              <w:bidi w:val="0"/>
              <w:spacing w:before="0" w:after="283"/>
              <w:ind w:left="0" w:right="0" w:hanging="180"/>
              <w:jc w:val="left"/>
              <w:rPr/>
            </w:pPr>
            <w:r>
              <w:rPr/>
              <w:t> </w:t>
            </w:r>
          </w:p>
        </w:tc>
      </w:tr>
      <w:tr>
        <w:trPr/>
        <w:tc>
          <w:tcPr>
            <w:tcW w:w="5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283"/>
              <w:jc w:val="both"/>
              <w:rPr>
                <w:b/>
              </w:rPr>
            </w:pPr>
            <w:r>
              <w:rPr>
                <w:b/>
              </w:rPr>
              <w:t>Net loss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(11,148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(10,475</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(10,220</w:t>
            </w:r>
          </w:p>
        </w:tc>
        <w:tc>
          <w:tcPr>
            <w:tcW w:w="91" w:type="dxa"/>
            <w:tcBorders/>
            <w:vAlign w:val="center"/>
          </w:tcPr>
          <w:p>
            <w:pPr>
              <w:pStyle w:val="TableContents"/>
              <w:bidi w:val="0"/>
              <w:spacing w:before="0" w:after="283"/>
              <w:ind w:left="0" w:right="0" w:hanging="180"/>
              <w:jc w:val="left"/>
              <w:rPr/>
            </w:pPr>
            <w:r>
              <w:rPr/>
              <w:t>)</w:t>
            </w:r>
          </w:p>
        </w:tc>
      </w:tr>
      <w:tr>
        <w:trPr/>
        <w:tc>
          <w:tcPr>
            <w:tcW w:w="5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283"/>
              <w:jc w:val="both"/>
              <w:rPr>
                <w:b/>
              </w:rPr>
            </w:pPr>
            <w:r>
              <w:rPr>
                <w:b/>
              </w:rPr>
              <w:t>Basic and diluted loss per ordinary share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(4.3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(5.91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(8.94</w:t>
            </w:r>
          </w:p>
        </w:tc>
        <w:tc>
          <w:tcPr>
            <w:tcW w:w="91" w:type="dxa"/>
            <w:tcBorders/>
            <w:vAlign w:val="center"/>
          </w:tcPr>
          <w:p>
            <w:pPr>
              <w:pStyle w:val="TableContents"/>
              <w:bidi w:val="0"/>
              <w:spacing w:before="0" w:after="283"/>
              <w:ind w:left="0" w:right="0" w:hanging="180"/>
              <w:jc w:val="left"/>
              <w:rPr/>
            </w:pPr>
            <w:r>
              <w:rPr/>
              <w:t>)</w:t>
            </w:r>
          </w:p>
        </w:tc>
      </w:tr>
      <w:tr>
        <w:trPr/>
        <w:tc>
          <w:tcPr>
            <w:tcW w:w="5764"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764" w:type="dxa"/>
            <w:tcBorders/>
            <w:vAlign w:val="center"/>
          </w:tcPr>
          <w:p>
            <w:pPr>
              <w:pStyle w:val="TableContents"/>
              <w:bidi w:val="0"/>
              <w:spacing w:before="0" w:after="0"/>
              <w:jc w:val="both"/>
              <w:rPr/>
            </w:pPr>
            <w:r>
              <w:rPr/>
              <w:t>Weighted average number of ordinary shares outstanding used in computing basic and diluted loss per ordinary share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2,587,290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1,771,803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1,143,518</w:t>
            </w:r>
          </w:p>
        </w:tc>
        <w:tc>
          <w:tcPr>
            <w:tcW w:w="9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t>Retroactively adjusted to reflect the issuance of bonus shares effected on February 13, 2022, and a reverse share split of the Company’s ordinary shares effected on November 15, 2023 (see Note 1B)</w:t>
            </w:r>
          </w:p>
        </w:tc>
      </w:tr>
    </w:tbl>
    <w:p>
      <w:pPr>
        <w:pStyle w:val="TextBody"/>
        <w:bidi w:val="0"/>
        <w:spacing w:before="0" w:after="0"/>
        <w:ind w:left="284" w:right="0" w:hanging="2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6" w:name="f_004"/>
      <w:bookmarkEnd w:id="86"/>
      <w:r>
        <w:rPr>
          <w:rFonts w:ascii="Times New Roman;Times;Serif" w:hAnsi="Times New Roman;Times;Serif"/>
          <w:b/>
          <w:i w:val="false"/>
          <w:caps w:val="false"/>
          <w:smallCaps w:val="false"/>
          <w:sz w:val="20"/>
        </w:rPr>
        <w:t xml:space="preserve">Rail Vision Ltd.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Convertible Preferred Shares and Changes in Shareholders’ Equity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0"/>
        <w:gridCol w:w="60"/>
        <w:gridCol w:w="86"/>
        <w:gridCol w:w="1046"/>
        <w:gridCol w:w="96"/>
        <w:gridCol w:w="60"/>
        <w:gridCol w:w="60"/>
        <w:gridCol w:w="767"/>
        <w:gridCol w:w="95"/>
        <w:gridCol w:w="60"/>
        <w:gridCol w:w="86"/>
        <w:gridCol w:w="1057"/>
        <w:gridCol w:w="60"/>
        <w:gridCol w:w="60"/>
        <w:gridCol w:w="96"/>
        <w:gridCol w:w="419"/>
        <w:gridCol w:w="60"/>
        <w:gridCol w:w="60"/>
        <w:gridCol w:w="89"/>
        <w:gridCol w:w="1011"/>
        <w:gridCol w:w="60"/>
        <w:gridCol w:w="60"/>
        <w:gridCol w:w="100"/>
        <w:gridCol w:w="1271"/>
        <w:gridCol w:w="95"/>
        <w:gridCol w:w="60"/>
        <w:gridCol w:w="97"/>
        <w:gridCol w:w="1230"/>
        <w:gridCol w:w="84"/>
      </w:tblGrid>
      <w:tr>
        <w:trPr/>
        <w:tc>
          <w:tcPr>
            <w:tcW w:w="182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1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Convertible Preferred A </w:t>
              <w:br/>
              <w:t>Shares</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7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7" w:type="dxa"/>
            <w:gridSpan w:val="2"/>
            <w:tcBorders/>
            <w:vAlign w:val="center"/>
          </w:tcPr>
          <w:p>
            <w:pPr>
              <w:pStyle w:val="TableContents"/>
              <w:bidi w:val="0"/>
              <w:spacing w:before="0" w:after="283"/>
              <w:jc w:val="center"/>
              <w:rPr>
                <w:b/>
              </w:rPr>
            </w:pPr>
            <w:r>
              <w:rPr>
                <w:b/>
              </w:rPr>
              <w:t xml:space="preserve">Total </w:t>
              <w:br/>
              <w:t>shareholders’</w:t>
            </w:r>
          </w:p>
        </w:tc>
        <w:tc>
          <w:tcPr>
            <w:tcW w:w="84" w:type="dxa"/>
            <w:tcBorders/>
            <w:vAlign w:val="center"/>
          </w:tcPr>
          <w:p>
            <w:pPr>
              <w:pStyle w:val="TableContents"/>
              <w:bidi w:val="0"/>
              <w:spacing w:before="0" w:after="283"/>
              <w:ind w:left="0" w:right="0" w:hanging="180"/>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paid in </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Accumulated </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equity </w:t>
              <w:br/>
              <w:t>(deficit)</w:t>
            </w:r>
          </w:p>
        </w:tc>
        <w:tc>
          <w:tcPr>
            <w:tcW w:w="84" w:type="dxa"/>
            <w:tcBorders/>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b/>
              </w:rPr>
            </w:pPr>
            <w:r>
              <w:rPr>
                <w:b/>
              </w:rPr>
              <w:t>BALANCE AS OF January 1, 2021</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51,282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4,965</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1,142,075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35,001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(34,119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907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30"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b/>
                <w:u w:val="single"/>
              </w:rPr>
            </w:pPr>
            <w:r>
              <w:rPr>
                <w:b/>
                <w:u w:val="single"/>
              </w:rPr>
              <w:t>CHANGES DURING 2021:</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vAlign w:val="center"/>
          </w:tcPr>
          <w:p>
            <w:pPr>
              <w:pStyle w:val="TableContents"/>
              <w:bidi w:val="0"/>
              <w:spacing w:before="0" w:after="283"/>
              <w:jc w:val="left"/>
              <w:rPr/>
            </w:pPr>
            <w:r>
              <w:rPr/>
              <w:t>Issuance of convertible preferred shares</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5,000</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30" w:type="dxa"/>
            <w:tcBorders/>
            <w:vAlign w:val="center"/>
          </w:tcPr>
          <w:p>
            <w:pPr>
              <w:pStyle w:val="TableContents"/>
              <w:bidi w:val="0"/>
              <w:spacing w:before="0" w:after="0"/>
              <w:jc w:val="right"/>
              <w:rPr/>
            </w:pPr>
            <w:r>
              <w:rPr/>
              <w:t>--</w:t>
            </w:r>
          </w:p>
        </w:tc>
        <w:tc>
          <w:tcPr>
            <w:tcW w:w="84" w:type="dxa"/>
            <w:tcBorders/>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pPr>
            <w:r>
              <w:rPr/>
              <w:t>Issuance of shares as a result of exercise of options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0"/>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2,591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127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vAlign w:val="center"/>
          </w:tcPr>
          <w:p>
            <w:pPr>
              <w:pStyle w:val="TableContents"/>
              <w:bidi w:val="0"/>
              <w:spacing w:before="0" w:after="283"/>
              <w:jc w:val="left"/>
              <w:rPr/>
            </w:pPr>
            <w:r>
              <w:rPr/>
              <w:t>Share-based payment</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859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30" w:type="dxa"/>
            <w:tcBorders/>
            <w:vAlign w:val="center"/>
          </w:tcPr>
          <w:p>
            <w:pPr>
              <w:pStyle w:val="TableContents"/>
              <w:bidi w:val="0"/>
              <w:spacing w:before="0" w:after="283"/>
              <w:jc w:val="right"/>
              <w:rPr/>
            </w:pPr>
            <w:r>
              <w:rPr/>
              <w:t>859</w:t>
            </w:r>
          </w:p>
        </w:tc>
        <w:tc>
          <w:tcPr>
            <w:tcW w:w="84" w:type="dxa"/>
            <w:tcBorders/>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(10,220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(10,220</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1820" w:type="dxa"/>
            <w:tcBorders/>
            <w:vAlign w:val="center"/>
          </w:tcPr>
          <w:p>
            <w:pPr>
              <w:pStyle w:val="TableContents"/>
              <w:bidi w:val="0"/>
              <w:spacing w:before="0" w:after="283"/>
              <w:jc w:val="left"/>
              <w:rPr>
                <w:b/>
              </w:rPr>
            </w:pPr>
            <w:r>
              <w:rPr>
                <w:b/>
              </w:rPr>
              <w:t>BALANCE AS OF DECEMBER 31, 2021</w:t>
            </w:r>
          </w:p>
        </w:tc>
        <w:tc>
          <w:tcPr>
            <w:tcW w:w="60" w:type="dxa"/>
            <w:tcBorders/>
            <w:vAlign w:val="center"/>
          </w:tcPr>
          <w:p>
            <w:pPr>
              <w:pStyle w:val="TableContents"/>
              <w:bidi w:val="0"/>
              <w:spacing w:before="0" w:after="283"/>
              <w:jc w:val="left"/>
              <w:rPr/>
            </w:pPr>
            <w:r>
              <w:rPr/>
              <w:t> </w:t>
            </w:r>
          </w:p>
        </w:tc>
        <w:tc>
          <w:tcPr>
            <w:tcW w:w="86" w:type="dxa"/>
            <w:tcBorders>
              <w:bottom w:val="double" w:sz="10" w:space="0" w:color="000000"/>
            </w:tcBorders>
            <w:tcMar>
              <w:bottom w:w="28" w:type="dxa"/>
            </w:tcMar>
            <w:vAlign w:val="center"/>
          </w:tcPr>
          <w:p>
            <w:pPr>
              <w:pStyle w:val="TableContents"/>
              <w:bidi w:val="0"/>
              <w:spacing w:before="0" w:after="283"/>
              <w:jc w:val="left"/>
              <w:rPr/>
            </w:pPr>
            <w:r>
              <w:rPr/>
              <w:t> </w:t>
            </w:r>
          </w:p>
        </w:tc>
        <w:tc>
          <w:tcPr>
            <w:tcW w:w="1046" w:type="dxa"/>
            <w:tcBorders>
              <w:bottom w:val="double" w:sz="10" w:space="0" w:color="000000"/>
            </w:tcBorders>
            <w:tcMar>
              <w:bottom w:w="28" w:type="dxa"/>
            </w:tcMar>
            <w:vAlign w:val="center"/>
          </w:tcPr>
          <w:p>
            <w:pPr>
              <w:pStyle w:val="TableContents"/>
              <w:bidi w:val="0"/>
              <w:spacing w:before="0" w:after="283"/>
              <w:jc w:val="right"/>
              <w:rPr/>
            </w:pPr>
            <w:r>
              <w:rPr/>
              <w:t>51,282</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767" w:type="dxa"/>
            <w:tcBorders>
              <w:bottom w:val="double" w:sz="10" w:space="0" w:color="000000"/>
            </w:tcBorders>
            <w:tcMar>
              <w:bottom w:w="28" w:type="dxa"/>
            </w:tcMar>
            <w:vAlign w:val="center"/>
          </w:tcPr>
          <w:p>
            <w:pPr>
              <w:pStyle w:val="TableContents"/>
              <w:bidi w:val="0"/>
              <w:spacing w:before="0" w:after="283"/>
              <w:jc w:val="right"/>
              <w:rPr/>
            </w:pPr>
            <w:r>
              <w:rPr/>
              <w:t>9,965</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6"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7" w:type="dxa"/>
            <w:tcBorders>
              <w:bottom w:val="double" w:sz="10" w:space="0" w:color="000000"/>
            </w:tcBorders>
            <w:tcMar>
              <w:bottom w:w="28" w:type="dxa"/>
            </w:tcMar>
            <w:vAlign w:val="center"/>
          </w:tcPr>
          <w:p>
            <w:pPr>
              <w:pStyle w:val="TableContents"/>
              <w:bidi w:val="0"/>
              <w:spacing w:before="0" w:after="283"/>
              <w:jc w:val="right"/>
              <w:rPr/>
            </w:pPr>
            <w:r>
              <w:rPr/>
              <w:t>1,144,666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bottom w:val="double" w:sz="10" w:space="0" w:color="000000"/>
            </w:tcBorders>
            <w:tcMar>
              <w:bottom w:w="28" w:type="dxa"/>
            </w:tcMar>
            <w:vAlign w:val="center"/>
          </w:tcPr>
          <w:p>
            <w:pPr>
              <w:pStyle w:val="TableContents"/>
              <w:bidi w:val="0"/>
              <w:spacing w:before="0" w:after="283"/>
              <w:jc w:val="left"/>
              <w:rPr/>
            </w:pPr>
            <w:r>
              <w:rPr/>
              <w:t> </w:t>
            </w:r>
          </w:p>
        </w:tc>
        <w:tc>
          <w:tcPr>
            <w:tcW w:w="419" w:type="dxa"/>
            <w:tcBorders>
              <w:bottom w:val="double" w:sz="10" w:space="0" w:color="000000"/>
            </w:tcBorders>
            <w:tcMar>
              <w:bottom w:w="28" w:type="dxa"/>
            </w:tcMar>
            <w:vAlign w:val="center"/>
          </w:tcPr>
          <w:p>
            <w:pPr>
              <w:pStyle w:val="TableContents"/>
              <w:bidi w:val="0"/>
              <w:spacing w:before="0" w:after="283"/>
              <w:jc w:val="right"/>
              <w:rPr/>
            </w:pPr>
            <w:r>
              <w:rPr/>
              <w:t>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tcMar>
              <w:bottom w:w="28" w:type="dxa"/>
            </w:tcMar>
            <w:vAlign w:val="center"/>
          </w:tcPr>
          <w:p>
            <w:pPr>
              <w:pStyle w:val="TableContents"/>
              <w:bidi w:val="0"/>
              <w:spacing w:before="0" w:after="283"/>
              <w:jc w:val="right"/>
              <w:rPr/>
            </w:pPr>
            <w:r>
              <w:rPr/>
              <w:t>35,987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1" w:type="dxa"/>
            <w:tcBorders>
              <w:bottom w:val="double" w:sz="10" w:space="0" w:color="000000"/>
            </w:tcBorders>
            <w:tcMar>
              <w:bottom w:w="28" w:type="dxa"/>
            </w:tcMar>
            <w:vAlign w:val="center"/>
          </w:tcPr>
          <w:p>
            <w:pPr>
              <w:pStyle w:val="TableContents"/>
              <w:bidi w:val="0"/>
              <w:spacing w:before="0" w:after="283"/>
              <w:jc w:val="right"/>
              <w:rPr/>
            </w:pPr>
            <w:r>
              <w:rPr/>
              <w:t>(44,339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0" w:type="dxa"/>
            <w:tcBorders>
              <w:bottom w:val="double" w:sz="10" w:space="0" w:color="000000"/>
            </w:tcBorders>
            <w:tcMar>
              <w:bottom w:w="28" w:type="dxa"/>
            </w:tcMar>
            <w:vAlign w:val="center"/>
          </w:tcPr>
          <w:p>
            <w:pPr>
              <w:pStyle w:val="TableContents"/>
              <w:bidi w:val="0"/>
              <w:spacing w:before="0" w:after="283"/>
              <w:jc w:val="right"/>
              <w:rPr/>
            </w:pPr>
            <w:r>
              <w:rPr/>
              <w:t>(8,327</w:t>
            </w:r>
          </w:p>
        </w:tc>
        <w:tc>
          <w:tcPr>
            <w:tcW w:w="84" w:type="dxa"/>
            <w:tcBorders/>
            <w:vAlign w:val="center"/>
          </w:tcPr>
          <w:p>
            <w:pPr>
              <w:pStyle w:val="TableContents"/>
              <w:bidi w:val="0"/>
              <w:spacing w:before="0" w:after="283"/>
              <w:ind w:left="0" w:right="0" w:hanging="180"/>
              <w:jc w:val="left"/>
              <w:rPr/>
            </w:pPr>
            <w:r>
              <w:rPr/>
              <w:t>)</w:t>
            </w:r>
          </w:p>
        </w:tc>
      </w:tr>
      <w:tr>
        <w:trPr/>
        <w:tc>
          <w:tcPr>
            <w:tcW w:w="1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vAlign w:val="center"/>
          </w:tcPr>
          <w:p>
            <w:pPr>
              <w:pStyle w:val="TableContents"/>
              <w:bidi w:val="0"/>
              <w:spacing w:before="0" w:after="283"/>
              <w:jc w:val="left"/>
              <w:rPr>
                <w:b/>
                <w:u w:val="single"/>
              </w:rPr>
            </w:pPr>
            <w:r>
              <w:rPr>
                <w:b/>
                <w:u w:val="single"/>
              </w:rPr>
              <w:t>CHANGES DURING 2022:</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30" w:type="dxa"/>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pPr>
            <w:r>
              <w:rPr/>
              <w:t>Issuance of convertible preferred shares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10,256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0"/>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vAlign w:val="center"/>
          </w:tcPr>
          <w:p>
            <w:pPr>
              <w:pStyle w:val="TableContents"/>
              <w:bidi w:val="0"/>
              <w:spacing w:before="0" w:after="283"/>
              <w:jc w:val="left"/>
              <w:rPr/>
            </w:pPr>
            <w:r>
              <w:rPr/>
              <w:t>Conversion of convertible preferred shares into ordinary shares upon completion of initial public offering</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(61,538</w:t>
            </w:r>
          </w:p>
        </w:tc>
        <w:tc>
          <w:tcPr>
            <w:tcW w:w="96"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(11,965</w:t>
            </w:r>
          </w:p>
        </w:tc>
        <w:tc>
          <w:tcPr>
            <w:tcW w:w="95" w:type="dxa"/>
            <w:tcBorders/>
            <w:vAlign w:val="center"/>
          </w:tcPr>
          <w:p>
            <w:pPr>
              <w:pStyle w:val="TableContents"/>
              <w:bidi w:val="0"/>
              <w:spacing w:before="0" w:after="283"/>
              <w:jc w:val="left"/>
              <w:rPr/>
            </w:pPr>
            <w:r>
              <w:rPr/>
              <w:t>)</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338,459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11,957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30" w:type="dxa"/>
            <w:tcBorders/>
            <w:vAlign w:val="center"/>
          </w:tcPr>
          <w:p>
            <w:pPr>
              <w:pStyle w:val="TableContents"/>
              <w:bidi w:val="0"/>
              <w:spacing w:before="0" w:after="283"/>
              <w:jc w:val="right"/>
              <w:rPr/>
            </w:pPr>
            <w:r>
              <w:rPr/>
              <w:t>11,965</w:t>
            </w:r>
          </w:p>
        </w:tc>
        <w:tc>
          <w:tcPr>
            <w:tcW w:w="84" w:type="dxa"/>
            <w:tcBorders/>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pPr>
            <w:r>
              <w:rPr/>
              <w:t>Issuance of units of ordinary shares and warrants in connection with the initial public offering, net of issuance costs(***)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0"/>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473,405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13,575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13,587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vAlign w:val="center"/>
          </w:tcPr>
          <w:p>
            <w:pPr>
              <w:pStyle w:val="TableContents"/>
              <w:bidi w:val="0"/>
              <w:spacing w:before="0" w:after="283"/>
              <w:jc w:val="left"/>
              <w:rPr/>
            </w:pPr>
            <w:r>
              <w:rPr/>
              <w:t>Conversion of convertible debt into ordinary shares upon completion of initial public offering</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0"/>
              <w:jc w:val="right"/>
              <w:rPr/>
            </w:pPr>
            <w:r>
              <w:rPr/>
              <w: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30,266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999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30" w:type="dxa"/>
            <w:tcBorders/>
            <w:vAlign w:val="center"/>
          </w:tcPr>
          <w:p>
            <w:pPr>
              <w:pStyle w:val="TableContents"/>
              <w:bidi w:val="0"/>
              <w:spacing w:before="0" w:after="283"/>
              <w:jc w:val="right"/>
              <w:rPr/>
            </w:pPr>
            <w:r>
              <w:rPr/>
              <w:t>1,000</w:t>
            </w:r>
          </w:p>
        </w:tc>
        <w:tc>
          <w:tcPr>
            <w:tcW w:w="84" w:type="dxa"/>
            <w:tcBorders/>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pPr>
            <w:r>
              <w:rPr/>
              <w:t>Issuance of ordinary shares as a result of exercise of options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0"/>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20" w:type="dxa"/>
            <w:tcBorders/>
            <w:vAlign w:val="center"/>
          </w:tcPr>
          <w:p>
            <w:pPr>
              <w:pStyle w:val="TableContents"/>
              <w:bidi w:val="0"/>
              <w:spacing w:before="0" w:after="283"/>
              <w:jc w:val="left"/>
              <w:rPr/>
            </w:pPr>
            <w:r>
              <w:rPr/>
              <w:t>Share-based payment</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right"/>
              <w:rPr/>
            </w:pPr>
            <w:r>
              <w:rPr/>
              <w: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5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505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30" w:type="dxa"/>
            <w:tcBorders/>
            <w:vAlign w:val="center"/>
          </w:tcPr>
          <w:p>
            <w:pPr>
              <w:pStyle w:val="TableContents"/>
              <w:bidi w:val="0"/>
              <w:spacing w:before="0" w:after="283"/>
              <w:jc w:val="right"/>
              <w:rPr/>
            </w:pPr>
            <w:r>
              <w:rPr/>
              <w:t>505</w:t>
            </w:r>
          </w:p>
        </w:tc>
        <w:tc>
          <w:tcPr>
            <w:tcW w:w="84" w:type="dxa"/>
            <w:tcBorders/>
            <w:vAlign w:val="center"/>
          </w:tcPr>
          <w:p>
            <w:pPr>
              <w:pStyle w:val="TableContents"/>
              <w:bidi w:val="0"/>
              <w:spacing w:before="0" w:after="283"/>
              <w:ind w:left="0" w:right="0" w:hanging="180"/>
              <w:jc w:val="left"/>
              <w:rPr/>
            </w:pPr>
            <w:r>
              <w:rPr/>
              <w:t> </w:t>
            </w:r>
          </w:p>
        </w:tc>
      </w:tr>
      <w:tr>
        <w:trPr/>
        <w:tc>
          <w:tcPr>
            <w:tcW w:w="18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(10,475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(10,475</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1820" w:type="dxa"/>
            <w:tcBorders/>
            <w:vAlign w:val="center"/>
          </w:tcPr>
          <w:p>
            <w:pPr>
              <w:pStyle w:val="TableContents"/>
              <w:bidi w:val="0"/>
              <w:spacing w:before="0" w:after="283"/>
              <w:jc w:val="left"/>
              <w:rPr>
                <w:b/>
              </w:rPr>
            </w:pPr>
            <w:r>
              <w:rPr>
                <w:b/>
              </w:rPr>
              <w:t>BALANCE AS OF DECEMBER 31, 2022</w:t>
            </w:r>
          </w:p>
        </w:tc>
        <w:tc>
          <w:tcPr>
            <w:tcW w:w="60" w:type="dxa"/>
            <w:tcBorders/>
            <w:vAlign w:val="center"/>
          </w:tcPr>
          <w:p>
            <w:pPr>
              <w:pStyle w:val="TableContents"/>
              <w:bidi w:val="0"/>
              <w:spacing w:before="0" w:after="283"/>
              <w:jc w:val="left"/>
              <w:rPr/>
            </w:pPr>
            <w:r>
              <w:rPr/>
              <w:t> </w:t>
            </w:r>
          </w:p>
        </w:tc>
        <w:tc>
          <w:tcPr>
            <w:tcW w:w="86" w:type="dxa"/>
            <w:tcBorders>
              <w:bottom w:val="double" w:sz="10" w:space="0" w:color="000000"/>
            </w:tcBorders>
            <w:tcMar>
              <w:bottom w:w="28" w:type="dxa"/>
            </w:tcMar>
            <w:vAlign w:val="center"/>
          </w:tcPr>
          <w:p>
            <w:pPr>
              <w:pStyle w:val="TableContents"/>
              <w:bidi w:val="0"/>
              <w:spacing w:before="0" w:after="283"/>
              <w:jc w:val="left"/>
              <w:rPr/>
            </w:pPr>
            <w:r>
              <w:rPr/>
              <w:t> </w:t>
            </w:r>
          </w:p>
        </w:tc>
        <w:tc>
          <w:tcPr>
            <w:tcW w:w="1046" w:type="dxa"/>
            <w:tcBorders>
              <w:bottom w:val="double" w:sz="10" w:space="0" w:color="000000"/>
            </w:tcBorders>
            <w:tcMar>
              <w:bottom w:w="28" w:type="dxa"/>
            </w:tcMar>
            <w:vAlign w:val="center"/>
          </w:tcPr>
          <w:p>
            <w:pPr>
              <w:pStyle w:val="TableContents"/>
              <w:bidi w:val="0"/>
              <w:spacing w:before="0" w:after="0"/>
              <w:jc w:val="right"/>
              <w:rPr/>
            </w:pPr>
            <w:r>
              <w:rPr/>
              <w:t>--</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767" w:type="dxa"/>
            <w:tcBorders>
              <w:bottom w:val="double" w:sz="10"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6"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7" w:type="dxa"/>
            <w:tcBorders>
              <w:bottom w:val="double" w:sz="10" w:space="0" w:color="000000"/>
            </w:tcBorders>
            <w:tcMar>
              <w:bottom w:w="28" w:type="dxa"/>
            </w:tcMar>
            <w:vAlign w:val="center"/>
          </w:tcPr>
          <w:p>
            <w:pPr>
              <w:pStyle w:val="TableContents"/>
              <w:bidi w:val="0"/>
              <w:spacing w:before="0" w:after="283"/>
              <w:jc w:val="right"/>
              <w:rPr/>
            </w:pPr>
            <w:r>
              <w:rPr/>
              <w:t>1,987,005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bottom w:val="double" w:sz="10" w:space="0" w:color="000000"/>
            </w:tcBorders>
            <w:tcMar>
              <w:bottom w:w="28" w:type="dxa"/>
            </w:tcMar>
            <w:vAlign w:val="center"/>
          </w:tcPr>
          <w:p>
            <w:pPr>
              <w:pStyle w:val="TableContents"/>
              <w:bidi w:val="0"/>
              <w:spacing w:before="0" w:after="283"/>
              <w:jc w:val="left"/>
              <w:rPr/>
            </w:pPr>
            <w:r>
              <w:rPr/>
              <w:t> </w:t>
            </w:r>
          </w:p>
        </w:tc>
        <w:tc>
          <w:tcPr>
            <w:tcW w:w="419" w:type="dxa"/>
            <w:tcBorders>
              <w:bottom w:val="double" w:sz="10" w:space="0" w:color="000000"/>
            </w:tcBorders>
            <w:tcMar>
              <w:bottom w:w="28" w:type="dxa"/>
            </w:tcMar>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tcMar>
              <w:bottom w:w="28" w:type="dxa"/>
            </w:tcMar>
            <w:vAlign w:val="center"/>
          </w:tcPr>
          <w:p>
            <w:pPr>
              <w:pStyle w:val="TableContents"/>
              <w:bidi w:val="0"/>
              <w:spacing w:before="0" w:after="283"/>
              <w:jc w:val="right"/>
              <w:rPr/>
            </w:pPr>
            <w:r>
              <w:rPr/>
              <w:t>63,033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1" w:type="dxa"/>
            <w:tcBorders>
              <w:bottom w:val="double" w:sz="10" w:space="0" w:color="000000"/>
            </w:tcBorders>
            <w:tcMar>
              <w:bottom w:w="28" w:type="dxa"/>
            </w:tcMar>
            <w:vAlign w:val="center"/>
          </w:tcPr>
          <w:p>
            <w:pPr>
              <w:pStyle w:val="TableContents"/>
              <w:bidi w:val="0"/>
              <w:spacing w:before="0" w:after="283"/>
              <w:jc w:val="right"/>
              <w:rPr/>
            </w:pPr>
            <w:r>
              <w:rPr/>
              <w:t>(54,814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0" w:type="dxa"/>
            <w:tcBorders>
              <w:bottom w:val="double" w:sz="10" w:space="0" w:color="000000"/>
            </w:tcBorders>
            <w:tcMar>
              <w:bottom w:w="28" w:type="dxa"/>
            </w:tcMar>
            <w:vAlign w:val="center"/>
          </w:tcPr>
          <w:p>
            <w:pPr>
              <w:pStyle w:val="TableContents"/>
              <w:bidi w:val="0"/>
              <w:spacing w:before="0" w:after="283"/>
              <w:jc w:val="right"/>
              <w:rPr/>
            </w:pPr>
            <w:r>
              <w:rPr/>
              <w:t>8,265</w:t>
            </w:r>
          </w:p>
        </w:tc>
        <w:tc>
          <w:tcPr>
            <w:tcW w:w="8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305"/>
        <w:gridCol w:w="3350"/>
      </w:tblGrid>
      <w:tr>
        <w:trPr/>
        <w:tc>
          <w:tcPr>
            <w:tcW w:w="305"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pPr>
            <w:r>
              <w:rPr/>
              <w:t>Represents an amount less than $1.</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w:t>
            </w:r>
          </w:p>
        </w:tc>
        <w:tc>
          <w:tcPr>
            <w:tcW w:w="9917" w:type="dxa"/>
            <w:tcBorders/>
            <w:vAlign w:val="center"/>
          </w:tcPr>
          <w:p>
            <w:pPr>
              <w:pStyle w:val="TableContents"/>
              <w:bidi w:val="0"/>
              <w:spacing w:before="0" w:after="283"/>
              <w:jc w:val="both"/>
              <w:rPr/>
            </w:pPr>
            <w:r>
              <w:rPr/>
              <w:t>Retroactively adjusted to reflect the issuance of bonus shares effected on February 13, 2022, and a reverse share split of the Company’s ordinary shares effected on November 15, 2023 (see Note 1B)</w:t>
            </w:r>
          </w:p>
        </w:tc>
      </w:tr>
    </w:tbl>
    <w:tbl>
      <w:tblPr>
        <w:tblW w:w="5650" w:type="dxa"/>
        <w:jc w:val="left"/>
        <w:tblInd w:w="0" w:type="dxa"/>
        <w:tblLayout w:type="fixed"/>
        <w:tblCellMar>
          <w:top w:w="0" w:type="dxa"/>
          <w:left w:w="0" w:type="dxa"/>
          <w:bottom w:w="0" w:type="dxa"/>
          <w:right w:w="0" w:type="dxa"/>
        </w:tblCellMar>
      </w:tblPr>
      <w:tblGrid>
        <w:gridCol w:w="545"/>
        <w:gridCol w:w="5105"/>
      </w:tblGrid>
      <w:tr>
        <w:trPr/>
        <w:tc>
          <w:tcPr>
            <w:tcW w:w="545"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pPr>
            <w:r>
              <w:rPr/>
              <w:t>Issuance costs in the amount of approximately $2,060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Rail Vision Ltd.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Convertible Preferred Shares and Changes in Shareholders’ Equity (Cont.)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7"/>
        <w:gridCol w:w="60"/>
        <w:gridCol w:w="438"/>
        <w:gridCol w:w="695"/>
        <w:gridCol w:w="181"/>
        <w:gridCol w:w="181"/>
        <w:gridCol w:w="250"/>
        <w:gridCol w:w="288"/>
        <w:gridCol w:w="60"/>
        <w:gridCol w:w="60"/>
        <w:gridCol w:w="88"/>
        <w:gridCol w:w="1065"/>
        <w:gridCol w:w="61"/>
        <w:gridCol w:w="61"/>
        <w:gridCol w:w="96"/>
        <w:gridCol w:w="419"/>
        <w:gridCol w:w="60"/>
        <w:gridCol w:w="60"/>
        <w:gridCol w:w="90"/>
        <w:gridCol w:w="1030"/>
        <w:gridCol w:w="95"/>
        <w:gridCol w:w="60"/>
        <w:gridCol w:w="103"/>
        <w:gridCol w:w="1309"/>
        <w:gridCol w:w="95"/>
        <w:gridCol w:w="60"/>
        <w:gridCol w:w="97"/>
        <w:gridCol w:w="1232"/>
        <w:gridCol w:w="84"/>
      </w:tblGrid>
      <w:tr>
        <w:trPr/>
        <w:tc>
          <w:tcPr>
            <w:tcW w:w="18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Convertible Preferred A </w:t>
              <w:br/>
              <w:t>Shares</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7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vAlign w:val="center"/>
          </w:tcPr>
          <w:p>
            <w:pPr>
              <w:pStyle w:val="TableContents"/>
              <w:bidi w:val="0"/>
              <w:spacing w:before="0" w:after="283"/>
              <w:jc w:val="center"/>
              <w:rPr>
                <w:b/>
              </w:rPr>
            </w:pPr>
            <w:r>
              <w:rPr>
                <w:b/>
              </w:rPr>
              <w:t xml:space="preserve">Total </w:t>
              <w:br/>
              <w:t>shareholders’</w:t>
            </w:r>
          </w:p>
        </w:tc>
        <w:tc>
          <w:tcPr>
            <w:tcW w:w="84" w:type="dxa"/>
            <w:tcBorders/>
            <w:vAlign w:val="center"/>
          </w:tcPr>
          <w:p>
            <w:pPr>
              <w:pStyle w:val="TableContents"/>
              <w:bidi w:val="0"/>
              <w:spacing w:before="0" w:after="283"/>
              <w:jc w:val="left"/>
              <w:rPr/>
            </w:pPr>
            <w:r>
              <w:rPr/>
              <w:t> </w:t>
            </w:r>
          </w:p>
        </w:tc>
      </w:tr>
      <w:tr>
        <w:trPr/>
        <w:tc>
          <w:tcPr>
            <w:tcW w:w="18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18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5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 in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equity </w:t>
              <w:br/>
              <w:t>(deficit)</w:t>
            </w:r>
          </w:p>
        </w:tc>
        <w:tc>
          <w:tcPr>
            <w:tcW w:w="84" w:type="dxa"/>
            <w:tcBorders/>
            <w:vAlign w:val="center"/>
          </w:tcPr>
          <w:p>
            <w:pPr>
              <w:pStyle w:val="TableContents"/>
              <w:bidi w:val="0"/>
              <w:spacing w:before="0" w:after="283"/>
              <w:ind w:left="0" w:right="0" w:hanging="180"/>
              <w:jc w:val="left"/>
              <w:rPr/>
            </w:pPr>
            <w:r>
              <w:rPr/>
              <w:t> </w:t>
            </w:r>
          </w:p>
        </w:tc>
      </w:tr>
      <w:tr>
        <w:trPr/>
        <w:tc>
          <w:tcPr>
            <w:tcW w:w="1827" w:type="dxa"/>
            <w:tcBorders/>
            <w:shd w:fill="CCEEFF" w:val="clear"/>
            <w:vAlign w:val="center"/>
          </w:tcPr>
          <w:p>
            <w:pPr>
              <w:pStyle w:val="TableContents"/>
              <w:bidi w:val="0"/>
              <w:spacing w:before="0" w:after="283"/>
              <w:jc w:val="left"/>
              <w:rPr>
                <w:b/>
              </w:rPr>
            </w:pPr>
            <w:r>
              <w:rPr>
                <w:b/>
              </w:rPr>
              <w:t>Balance as of January 1, 2023</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right"/>
              <w:rPr/>
            </w:pPr>
            <w:r>
              <w:rPr/>
              <w:t>--</w:t>
            </w:r>
          </w:p>
        </w:tc>
        <w:tc>
          <w:tcPr>
            <w:tcW w:w="18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1,987,005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63,033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(54,814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8,265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27" w:type="dxa"/>
            <w:tcBorders/>
            <w:vAlign w:val="center"/>
          </w:tcPr>
          <w:p>
            <w:pPr>
              <w:pStyle w:val="TableContents"/>
              <w:bidi w:val="0"/>
              <w:spacing w:before="0" w:after="283"/>
              <w:jc w:val="left"/>
              <w:rPr/>
            </w:pPr>
            <w:r>
              <w:rPr/>
              <w:t>Issuance of shares as a result of exercise of warrants</w:t>
            </w:r>
          </w:p>
        </w:tc>
        <w:tc>
          <w:tcPr>
            <w:tcW w:w="6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right"/>
              <w:rPr/>
            </w:pPr>
            <w:r>
              <w:rPr/>
              <w:t>--</w:t>
            </w:r>
          </w:p>
        </w:tc>
        <w:tc>
          <w:tcPr>
            <w:tcW w:w="18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24,431</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0"/>
              <w:jc w:val="right"/>
              <w:rPr/>
            </w:pPr>
            <w:r>
              <w:rPr/>
              <w:t>--</w:t>
            </w:r>
          </w:p>
        </w:tc>
        <w:tc>
          <w:tcPr>
            <w:tcW w:w="84" w:type="dxa"/>
            <w:tcBorders/>
            <w:vAlign w:val="center"/>
          </w:tcPr>
          <w:p>
            <w:pPr>
              <w:pStyle w:val="TableContents"/>
              <w:bidi w:val="0"/>
              <w:spacing w:before="0" w:after="283"/>
              <w:ind w:left="0" w:right="0" w:hanging="180"/>
              <w:jc w:val="left"/>
              <w:rPr/>
            </w:pPr>
            <w:r>
              <w:rPr/>
              <w:t> </w:t>
            </w:r>
          </w:p>
        </w:tc>
      </w:tr>
      <w:tr>
        <w:trPr/>
        <w:tc>
          <w:tcPr>
            <w:tcW w:w="1827" w:type="dxa"/>
            <w:tcBorders/>
            <w:shd w:fill="CCEEFF" w:val="clear"/>
            <w:vAlign w:val="center"/>
          </w:tcPr>
          <w:p>
            <w:pPr>
              <w:pStyle w:val="TableContents"/>
              <w:bidi w:val="0"/>
              <w:spacing w:before="0" w:after="283"/>
              <w:jc w:val="left"/>
              <w:rPr/>
            </w:pPr>
            <w:r>
              <w:rPr/>
              <w:t>Issuance of units of ordinary shares and warrants, net of issuance expenses (***)</w:t>
            </w:r>
          </w:p>
        </w:tc>
        <w:tc>
          <w:tcPr>
            <w:tcW w:w="6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0"/>
              <w:jc w:val="right"/>
              <w:rPr/>
            </w:pPr>
            <w:r>
              <w:rPr/>
              <w:t>--</w:t>
            </w:r>
          </w:p>
        </w:tc>
        <w:tc>
          <w:tcPr>
            <w:tcW w:w="18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986,842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5,376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5,397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27" w:type="dxa"/>
            <w:tcBorders/>
            <w:vAlign w:val="center"/>
          </w:tcPr>
          <w:p>
            <w:pPr>
              <w:pStyle w:val="TableContents"/>
              <w:bidi w:val="0"/>
              <w:spacing w:before="0" w:after="283"/>
              <w:jc w:val="left"/>
              <w:rPr/>
            </w:pPr>
            <w:r>
              <w:rPr/>
              <w:t>Share-based payment</w:t>
            </w:r>
          </w:p>
        </w:tc>
        <w:tc>
          <w:tcPr>
            <w:tcW w:w="6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273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273</w:t>
            </w:r>
          </w:p>
        </w:tc>
        <w:tc>
          <w:tcPr>
            <w:tcW w:w="84" w:type="dxa"/>
            <w:tcBorders/>
            <w:vAlign w:val="center"/>
          </w:tcPr>
          <w:p>
            <w:pPr>
              <w:pStyle w:val="TableContents"/>
              <w:bidi w:val="0"/>
              <w:spacing w:before="0" w:after="283"/>
              <w:ind w:left="0" w:right="0" w:hanging="180"/>
              <w:jc w:val="left"/>
              <w:rPr/>
            </w:pPr>
            <w:r>
              <w:rPr/>
              <w:t> </w:t>
            </w:r>
          </w:p>
        </w:tc>
      </w:tr>
      <w:tr>
        <w:trPr/>
        <w:tc>
          <w:tcPr>
            <w:tcW w:w="182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4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(11,148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(11,148</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1827" w:type="dxa"/>
            <w:tcBorders/>
            <w:vAlign w:val="center"/>
          </w:tcPr>
          <w:p>
            <w:pPr>
              <w:pStyle w:val="TableContents"/>
              <w:bidi w:val="0"/>
              <w:spacing w:before="0" w:after="283"/>
              <w:jc w:val="left"/>
              <w:rPr>
                <w:b/>
              </w:rPr>
            </w:pPr>
            <w:r>
              <w:rPr>
                <w:b/>
              </w:rPr>
              <w:t>BALANCE AS OF DECEMBER 31, 2023</w:t>
            </w:r>
          </w:p>
        </w:tc>
        <w:tc>
          <w:tcPr>
            <w:tcW w:w="60" w:type="dxa"/>
            <w:tcBorders/>
            <w:vAlign w:val="center"/>
          </w:tcPr>
          <w:p>
            <w:pPr>
              <w:pStyle w:val="TableContents"/>
              <w:bidi w:val="0"/>
              <w:spacing w:before="0" w:after="283"/>
              <w:jc w:val="left"/>
              <w:rPr/>
            </w:pPr>
            <w:r>
              <w:rPr/>
              <w:t> </w:t>
            </w:r>
          </w:p>
        </w:tc>
        <w:tc>
          <w:tcPr>
            <w:tcW w:w="438" w:type="dxa"/>
            <w:tcBorders>
              <w:bottom w:val="double" w:sz="10" w:space="0" w:color="000000"/>
            </w:tcBorders>
            <w:tcMar>
              <w:bottom w:w="28" w:type="dxa"/>
            </w:tcMar>
            <w:vAlign w:val="center"/>
          </w:tcPr>
          <w:p>
            <w:pPr>
              <w:pStyle w:val="TableContents"/>
              <w:bidi w:val="0"/>
              <w:spacing w:before="0" w:after="283"/>
              <w:jc w:val="left"/>
              <w:rPr/>
            </w:pPr>
            <w:r>
              <w:rPr/>
              <w:t> </w:t>
            </w:r>
          </w:p>
        </w:tc>
        <w:tc>
          <w:tcPr>
            <w:tcW w:w="695" w:type="dxa"/>
            <w:tcBorders>
              <w:bottom w:val="double" w:sz="10" w:space="0" w:color="000000"/>
            </w:tcBorders>
            <w:tcMar>
              <w:bottom w:w="28" w:type="dxa"/>
            </w:tcMar>
            <w:vAlign w:val="center"/>
          </w:tcPr>
          <w:p>
            <w:pPr>
              <w:pStyle w:val="TableContents"/>
              <w:bidi w:val="0"/>
              <w:spacing w:before="0" w:after="0"/>
              <w:jc w:val="right"/>
              <w:rPr/>
            </w:pPr>
            <w:r>
              <w:rPr/>
              <w:t>--</w:t>
            </w:r>
          </w:p>
        </w:tc>
        <w:tc>
          <w:tcPr>
            <w:tcW w:w="18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250" w:type="dxa"/>
            <w:tcBorders>
              <w:bottom w:val="double" w:sz="10" w:space="0" w:color="000000"/>
            </w:tcBorders>
            <w:tcMar>
              <w:bottom w:w="28" w:type="dxa"/>
            </w:tcMar>
            <w:vAlign w:val="center"/>
          </w:tcPr>
          <w:p>
            <w:pPr>
              <w:pStyle w:val="TableContents"/>
              <w:bidi w:val="0"/>
              <w:spacing w:before="0" w:after="283"/>
              <w:jc w:val="left"/>
              <w:rPr/>
            </w:pPr>
            <w:r>
              <w:rPr/>
              <w:t> </w:t>
            </w:r>
          </w:p>
        </w:tc>
        <w:tc>
          <w:tcPr>
            <w:tcW w:w="288"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8"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tcMar>
              <w:bottom w:w="28" w:type="dxa"/>
            </w:tcMar>
            <w:vAlign w:val="center"/>
          </w:tcPr>
          <w:p>
            <w:pPr>
              <w:pStyle w:val="TableContents"/>
              <w:bidi w:val="0"/>
              <w:spacing w:before="0" w:after="283"/>
              <w:jc w:val="right"/>
              <w:rPr/>
            </w:pPr>
            <w:r>
              <w:rPr/>
              <w:t>2,998,278</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6" w:type="dxa"/>
            <w:tcBorders>
              <w:bottom w:val="double" w:sz="10" w:space="0" w:color="000000"/>
            </w:tcBorders>
            <w:tcMar>
              <w:bottom w:w="28" w:type="dxa"/>
            </w:tcMar>
            <w:vAlign w:val="center"/>
          </w:tcPr>
          <w:p>
            <w:pPr>
              <w:pStyle w:val="TableContents"/>
              <w:bidi w:val="0"/>
              <w:spacing w:before="0" w:after="283"/>
              <w:jc w:val="left"/>
              <w:rPr/>
            </w:pPr>
            <w:r>
              <w:rPr/>
              <w:t> </w:t>
            </w:r>
          </w:p>
        </w:tc>
        <w:tc>
          <w:tcPr>
            <w:tcW w:w="419" w:type="dxa"/>
            <w:tcBorders>
              <w:bottom w:val="double" w:sz="10" w:space="0" w:color="000000"/>
            </w:tcBorders>
            <w:tcMar>
              <w:bottom w:w="28" w:type="dxa"/>
            </w:tcMar>
            <w:vAlign w:val="center"/>
          </w:tcPr>
          <w:p>
            <w:pPr>
              <w:pStyle w:val="TableContents"/>
              <w:bidi w:val="0"/>
              <w:spacing w:before="0" w:after="283"/>
              <w:jc w:val="right"/>
              <w:rPr/>
            </w:pPr>
            <w:r>
              <w:rPr/>
              <w:t>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30" w:type="dxa"/>
            <w:tcBorders>
              <w:bottom w:val="double" w:sz="10" w:space="0" w:color="000000"/>
            </w:tcBorders>
            <w:tcMar>
              <w:bottom w:w="28" w:type="dxa"/>
            </w:tcMar>
            <w:vAlign w:val="center"/>
          </w:tcPr>
          <w:p>
            <w:pPr>
              <w:pStyle w:val="TableContents"/>
              <w:bidi w:val="0"/>
              <w:spacing w:before="0" w:after="283"/>
              <w:jc w:val="right"/>
              <w:rPr/>
            </w:pPr>
            <w:r>
              <w:rPr/>
              <w:t>68,681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bottom w:val="double" w:sz="10" w:space="0" w:color="000000"/>
            </w:tcBorders>
            <w:tcMar>
              <w:bottom w:w="28" w:type="dxa"/>
            </w:tcMar>
            <w:vAlign w:val="center"/>
          </w:tcPr>
          <w:p>
            <w:pPr>
              <w:pStyle w:val="TableContents"/>
              <w:bidi w:val="0"/>
              <w:spacing w:before="0" w:after="283"/>
              <w:jc w:val="left"/>
              <w:rPr/>
            </w:pPr>
            <w:r>
              <w:rPr/>
              <w:t> </w:t>
            </w:r>
          </w:p>
        </w:tc>
        <w:tc>
          <w:tcPr>
            <w:tcW w:w="1309" w:type="dxa"/>
            <w:tcBorders>
              <w:bottom w:val="double" w:sz="10" w:space="0" w:color="000000"/>
            </w:tcBorders>
            <w:tcMar>
              <w:bottom w:w="28" w:type="dxa"/>
            </w:tcMar>
            <w:vAlign w:val="center"/>
          </w:tcPr>
          <w:p>
            <w:pPr>
              <w:pStyle w:val="TableContents"/>
              <w:bidi w:val="0"/>
              <w:spacing w:before="0" w:after="283"/>
              <w:jc w:val="right"/>
              <w:rPr/>
            </w:pPr>
            <w:r>
              <w:rPr/>
              <w:t>(65,962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2,787</w:t>
            </w:r>
          </w:p>
        </w:tc>
        <w:tc>
          <w:tcPr>
            <w:tcW w:w="8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305"/>
        <w:gridCol w:w="3350"/>
      </w:tblGrid>
      <w:tr>
        <w:trPr/>
        <w:tc>
          <w:tcPr>
            <w:tcW w:w="305"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pPr>
            <w:r>
              <w:rPr/>
              <w:t>Represents an amount less than $1.</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w:t>
            </w:r>
          </w:p>
        </w:tc>
        <w:tc>
          <w:tcPr>
            <w:tcW w:w="9917" w:type="dxa"/>
            <w:tcBorders/>
            <w:vAlign w:val="center"/>
          </w:tcPr>
          <w:p>
            <w:pPr>
              <w:pStyle w:val="TableContents"/>
              <w:bidi w:val="0"/>
              <w:spacing w:before="0" w:after="283"/>
              <w:jc w:val="both"/>
              <w:rPr/>
            </w:pPr>
            <w:r>
              <w:rPr/>
              <w:t>Retroactively adjusted to reflect the issuance of bonus shares effected on February 13, 2022, and a reverse share split of the Company’s ordinary shares effected on November 15, 2023 (see Note 1B)</w:t>
            </w:r>
          </w:p>
        </w:tc>
      </w:tr>
    </w:tbl>
    <w:tbl>
      <w:tblPr>
        <w:tblW w:w="7990" w:type="dxa"/>
        <w:jc w:val="left"/>
        <w:tblInd w:w="0" w:type="dxa"/>
        <w:tblLayout w:type="fixed"/>
        <w:tblCellMar>
          <w:top w:w="0" w:type="dxa"/>
          <w:left w:w="0" w:type="dxa"/>
          <w:bottom w:w="0" w:type="dxa"/>
          <w:right w:w="0" w:type="dxa"/>
        </w:tblCellMar>
      </w:tblPr>
      <w:tblGrid>
        <w:gridCol w:w="545"/>
        <w:gridCol w:w="7445"/>
      </w:tblGrid>
      <w:tr>
        <w:trPr/>
        <w:tc>
          <w:tcPr>
            <w:tcW w:w="545"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pPr>
            <w:r>
              <w:rPr/>
              <w:t>Issuance costs in the amount of approximately $603. (See Note 9 B (6)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7" w:name="f_005"/>
      <w:bookmarkEnd w:id="87"/>
      <w:r>
        <w:rPr>
          <w:rFonts w:ascii="Times New Roman;Times;Serif" w:hAnsi="Times New Roman;Times;Serif"/>
          <w:b/>
          <w:i w:val="false"/>
          <w:caps w:val="false"/>
          <w:smallCaps w:val="false"/>
          <w:sz w:val="20"/>
        </w:rPr>
        <w:t xml:space="preserve">Rail Vision Ltd.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2"/>
        <w:gridCol w:w="60"/>
        <w:gridCol w:w="140"/>
        <w:gridCol w:w="755"/>
        <w:gridCol w:w="95"/>
        <w:gridCol w:w="60"/>
        <w:gridCol w:w="140"/>
        <w:gridCol w:w="755"/>
        <w:gridCol w:w="155"/>
        <w:gridCol w:w="60"/>
        <w:gridCol w:w="140"/>
        <w:gridCol w:w="755"/>
        <w:gridCol w:w="108"/>
      </w:tblGrid>
      <w:tr>
        <w:trPr/>
        <w:tc>
          <w:tcPr>
            <w:tcW w:w="6982"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30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b/>
                <w:u w:val="single"/>
              </w:rPr>
            </w:pPr>
            <w:r>
              <w:rPr>
                <w:b/>
                <w:u w:val="single"/>
              </w:rPr>
              <w:t>Cash flows from operating activities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Loss for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(11,148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(10,475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(10,220</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982" w:type="dxa"/>
            <w:tcBorders/>
            <w:vAlign w:val="center"/>
          </w:tcPr>
          <w:p>
            <w:pPr>
              <w:pStyle w:val="TableContents"/>
              <w:bidi w:val="0"/>
              <w:spacing w:before="0" w:after="283"/>
              <w:jc w:val="both"/>
              <w:rPr>
                <w:u w:val="single"/>
              </w:rPr>
            </w:pPr>
            <w:r>
              <w:rPr>
                <w:u w:val="single"/>
              </w:rPr>
              <w:t>Adjustments to reconcile loss to net cash used in operating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142</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pPr>
            <w:r>
              <w:rPr/>
              <w:t>Share-based payment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1,055</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right"/>
              <w:rPr/>
            </w:pPr>
            <w:r>
              <w:rPr/>
              <w:t>--</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pPr>
            <w:r>
              <w:rPr/>
              <w:t>Decrease (increase) in accounts receivable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ind w:left="0" w:right="0" w:hanging="180"/>
              <w:jc w:val="right"/>
              <w:rPr/>
            </w:pPr>
            <w:r>
              <w:rPr/>
              <w:t>--</w:t>
            </w:r>
          </w:p>
        </w:tc>
        <w:tc>
          <w:tcPr>
            <w:tcW w:w="108" w:type="dxa"/>
            <w:tcBorders/>
          </w:tcPr>
          <w:p>
            <w:pPr>
              <w:pStyle w:val="TableContents"/>
              <w:bidi w:val="0"/>
              <w:spacing w:before="0" w:after="283"/>
              <w:jc w:val="left"/>
              <w:rPr>
                <w:sz w:val="4"/>
                <w:szCs w:val="4"/>
              </w:rPr>
            </w:pPr>
            <w:r>
              <w:rPr>
                <w:sz w:val="4"/>
                <w:szCs w:val="4"/>
              </w:rPr>
            </w:r>
          </w:p>
        </w:tc>
      </w:tr>
      <w:tr>
        <w:trPr/>
        <w:tc>
          <w:tcPr>
            <w:tcW w:w="6982" w:type="dxa"/>
            <w:tcBorders/>
            <w:shd w:fill="CCEEFF" w:val="clear"/>
            <w:vAlign w:val="center"/>
          </w:tcPr>
          <w:p>
            <w:pPr>
              <w:pStyle w:val="TableContents"/>
              <w:bidi w:val="0"/>
              <w:spacing w:before="0" w:after="283"/>
              <w:jc w:val="both"/>
              <w:rPr/>
            </w:pPr>
            <w:r>
              <w:rPr/>
              <w:t>Decrease (increase) in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(381</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982" w:type="dxa"/>
            <w:tcBorders/>
            <w:vAlign w:val="center"/>
          </w:tcPr>
          <w:p>
            <w:pPr>
              <w:pStyle w:val="TableContents"/>
              <w:bidi w:val="0"/>
              <w:spacing w:before="0" w:after="283"/>
              <w:jc w:val="both"/>
              <w:rPr/>
            </w:pPr>
            <w:r>
              <w:rPr/>
              <w:t>Increase in Inventory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(977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Change in operating lease liability,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(159</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982" w:type="dxa"/>
            <w:tcBorders/>
            <w:vAlign w:val="center"/>
          </w:tcPr>
          <w:p>
            <w:pPr>
              <w:pStyle w:val="TableContents"/>
              <w:bidi w:val="0"/>
              <w:spacing w:before="0" w:after="283"/>
              <w:jc w:val="both"/>
              <w:rPr/>
            </w:pPr>
            <w:r>
              <w:rPr/>
              <w:t>Increase (decrease) in trade accounts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(83</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Increase (decrease)in other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(540</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9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(9,981</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(9,948</w:t>
            </w:r>
          </w:p>
        </w:tc>
        <w:tc>
          <w:tcPr>
            <w:tcW w:w="108" w:type="dxa"/>
            <w:tcBorders/>
            <w:shd w:fill="CCEEFF" w:val="clear"/>
            <w:vAlign w:val="center"/>
          </w:tcPr>
          <w:p>
            <w:pPr>
              <w:pStyle w:val="TableContents"/>
              <w:bidi w:val="0"/>
              <w:spacing w:before="0" w:after="283"/>
              <w:ind w:left="0" w:right="0" w:hanging="180"/>
              <w:jc w:val="left"/>
              <w:rPr/>
            </w:pPr>
            <w:r>
              <w:rPr/>
              <w:t>)</w:t>
            </w:r>
          </w:p>
        </w:tc>
      </w:tr>
      <w:tr>
        <w:trPr/>
        <w:tc>
          <w:tcPr>
            <w:tcW w:w="69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b/>
                <w:u w:val="single"/>
              </w:rPr>
            </w:pPr>
            <w:r>
              <w:rPr>
                <w:b/>
                <w:u w:val="single"/>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pPr>
            <w:r>
              <w:rPr/>
              <w:t>Purchase of fixed assets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(152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(29</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(273</w:t>
            </w:r>
          </w:p>
        </w:tc>
        <w:tc>
          <w:tcPr>
            <w:tcW w:w="108" w:type="dxa"/>
            <w:tcBorders/>
            <w:vAlign w:val="center"/>
          </w:tcPr>
          <w:p>
            <w:pPr>
              <w:pStyle w:val="TableContents"/>
              <w:bidi w:val="0"/>
              <w:spacing w:before="0" w:after="283"/>
              <w:ind w:left="0" w:right="0" w:hanging="180"/>
              <w:jc w:val="left"/>
              <w:rPr/>
            </w:pPr>
            <w:r>
              <w:rPr/>
              <w:t>)</w:t>
            </w:r>
          </w:p>
        </w:tc>
      </w:tr>
      <w:tr>
        <w:trPr/>
        <w:tc>
          <w:tcPr>
            <w:tcW w:w="6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b/>
              </w:rPr>
            </w:pPr>
            <w:r>
              <w:rPr>
                <w:b/>
              </w:rPr>
              <w:t>Net cash used in investing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(29</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(273</w:t>
            </w:r>
          </w:p>
        </w:tc>
        <w:tc>
          <w:tcPr>
            <w:tcW w:w="108" w:type="dxa"/>
            <w:tcBorders/>
            <w:vAlign w:val="center"/>
          </w:tcPr>
          <w:p>
            <w:pPr>
              <w:pStyle w:val="TableContents"/>
              <w:bidi w:val="0"/>
              <w:spacing w:before="0" w:after="283"/>
              <w:ind w:left="0" w:right="0" w:hanging="180"/>
              <w:jc w:val="left"/>
              <w:rPr/>
            </w:pPr>
            <w:r>
              <w:rPr/>
              <w:t>)</w:t>
            </w:r>
          </w:p>
        </w:tc>
      </w:tr>
      <w:tr>
        <w:trPr/>
        <w:tc>
          <w:tcPr>
            <w:tcW w:w="698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b/>
                <w:u w:val="single"/>
              </w:rPr>
            </w:pPr>
            <w:r>
              <w:rPr>
                <w:b/>
                <w:u w:val="single"/>
              </w:rPr>
              <w:t>Cash flows from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Issuance of preferred A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5,000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pPr>
            <w:r>
              <w:rPr/>
              <w:t>Proceeds from a convertible debt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pPr>
            <w:r>
              <w:rPr/>
              <w:t>--</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127</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Issuance of ordinary shares and warrants, net of issuance </w:t>
            </w:r>
            <w:r>
              <w:rPr>
                <w:rFonts w:ascii="Times New Roman;Times;Serif" w:hAnsi="Times New Roman;Times;Serif"/>
                <w:sz w:val="20"/>
              </w:rPr>
              <w:t>costs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5,397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13,643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0"/>
              <w:jc w:val="right"/>
              <w:rPr/>
            </w:pPr>
            <w:r>
              <w:rPr/>
              <w:t>--</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b/>
              </w:rPr>
            </w:pPr>
            <w:r>
              <w:rPr>
                <w:b/>
              </w:rPr>
              <w:t>Net cash provided by 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5,397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16,653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5,127</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b/>
              </w:rPr>
            </w:pPr>
            <w:r>
              <w:rPr>
                <w:b/>
              </w:rPr>
              <w:t>Effect of exchange rate changes on cash and cash equivalents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right"/>
              <w:rPr>
                <w:b/>
              </w:rPr>
            </w:pPr>
            <w:r>
              <w:rPr>
                <w:b/>
              </w:rPr>
              <w:t>--</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b/>
              </w:rPr>
            </w:pPr>
            <w:r>
              <w:rPr>
                <w:b/>
              </w:rPr>
              <w:t>Increase (decrease) in cash, cash equivalents and restricted cash</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(5,203</w:t>
            </w:r>
          </w:p>
        </w:tc>
        <w:tc>
          <w:tcPr>
            <w:tcW w:w="95" w:type="dxa"/>
            <w:tcBorders/>
            <w:vAlign w:val="center"/>
          </w:tcPr>
          <w:p>
            <w:pPr>
              <w:pStyle w:val="TableContents"/>
              <w:bidi w:val="0"/>
              <w:spacing w:before="0" w:after="283"/>
              <w:jc w:val="left"/>
              <w:rPr>
                <w:b/>
              </w:rPr>
            </w:pPr>
            <w:r>
              <w:rPr>
                <w:b/>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6,643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b/>
              </w:rPr>
            </w:pPr>
            <w:r>
              <w:rPr>
                <w:b/>
              </w:rPr>
              <w:t>(5,094</w:t>
            </w:r>
          </w:p>
        </w:tc>
        <w:tc>
          <w:tcPr>
            <w:tcW w:w="108" w:type="dxa"/>
            <w:tcBorders/>
            <w:vAlign w:val="center"/>
          </w:tcPr>
          <w:p>
            <w:pPr>
              <w:pStyle w:val="TableContents"/>
              <w:bidi w:val="0"/>
              <w:spacing w:before="0" w:after="283"/>
              <w:ind w:left="0" w:right="0" w:hanging="180"/>
              <w:jc w:val="left"/>
              <w:rPr>
                <w:b/>
              </w:rPr>
            </w:pPr>
            <w:r>
              <w:rPr>
                <w:b/>
              </w:rPr>
              <w:t>)</w:t>
            </w:r>
          </w:p>
        </w:tc>
      </w:tr>
      <w:tr>
        <w:trPr/>
        <w:tc>
          <w:tcPr>
            <w:tcW w:w="6982" w:type="dxa"/>
            <w:tcBorders/>
            <w:shd w:fill="CCEEFF" w:val="clear"/>
            <w:vAlign w:val="center"/>
          </w:tcPr>
          <w:p>
            <w:pPr>
              <w:pStyle w:val="TableContents"/>
              <w:bidi w:val="0"/>
              <w:spacing w:before="0" w:after="283"/>
              <w:jc w:val="both"/>
              <w:rPr>
                <w:b/>
              </w:rPr>
            </w:pPr>
            <w:r>
              <w:rPr>
                <w:b/>
              </w:rPr>
              <w:t>Cash, cash equivalents and restricted cash at the beginning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6,943</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9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6982" w:type="dxa"/>
            <w:tcBorders/>
            <w:shd w:fill="CCEEFF" w:val="clear"/>
            <w:vAlign w:val="center"/>
          </w:tcPr>
          <w:p>
            <w:pPr>
              <w:pStyle w:val="TableContents"/>
              <w:bidi w:val="0"/>
              <w:spacing w:before="0" w:after="283"/>
              <w:jc w:val="both"/>
              <w:rPr>
                <w:b/>
              </w:rPr>
            </w:pPr>
            <w:r>
              <w:rPr>
                <w:b/>
              </w:rPr>
              <w:t>Cash, cash equivalents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1,849</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549" w:type="dxa"/>
        <w:jc w:val="left"/>
        <w:tblInd w:w="0" w:type="dxa"/>
        <w:tblLayout w:type="fixed"/>
        <w:tblCellMar>
          <w:top w:w="0" w:type="dxa"/>
          <w:left w:w="0" w:type="dxa"/>
          <w:bottom w:w="0" w:type="dxa"/>
          <w:right w:w="0" w:type="dxa"/>
        </w:tblCellMar>
      </w:tblPr>
      <w:tblGrid>
        <w:gridCol w:w="5180"/>
        <w:gridCol w:w="60"/>
        <w:gridCol w:w="60"/>
        <w:gridCol w:w="484"/>
        <w:gridCol w:w="61"/>
        <w:gridCol w:w="61"/>
        <w:gridCol w:w="61"/>
        <w:gridCol w:w="608"/>
        <w:gridCol w:w="61"/>
        <w:gridCol w:w="61"/>
        <w:gridCol w:w="61"/>
        <w:gridCol w:w="716"/>
        <w:gridCol w:w="75"/>
      </w:tblGrid>
      <w:tr>
        <w:trPr/>
        <w:tc>
          <w:tcPr>
            <w:tcW w:w="51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2174"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7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Non-Cash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 right-of-use asset in exchange for a lease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458</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of preferred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11,965</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of a convertible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of deferred expenses against additional paid in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right"/>
              <w:rPr/>
            </w:pPr>
            <w:r>
              <w:rPr/>
              <w: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8" w:name="f_006"/>
      <w:bookmarkEnd w:id="88"/>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br/>
      </w: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260"/>
        <w:gridCol w:w="183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A</w:t>
            </w:r>
            <w:r>
              <w:rPr>
                <w:rFonts w:ascii="Times New Roman;Times;Serif" w:hAnsi="Times New Roman;Times;Serif"/>
              </w:rPr>
              <w:t>.</w:t>
            </w:r>
          </w:p>
        </w:tc>
        <w:tc>
          <w:tcPr>
            <w:tcW w:w="18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Reporting Entity:</w:t>
            </w:r>
          </w:p>
        </w:tc>
      </w:tr>
    </w:tbl>
    <w:p>
      <w:pPr>
        <w:pStyle w:val="TextBody"/>
        <w:bidi w:val="0"/>
        <w:spacing w:before="0" w:after="0"/>
        <w:ind w:left="168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Ltd. (the “Company”) was incorporated and registered in Israel on April 18, 2016. The Company is a development-stage technology Company that is engaged in the design, development and assembly of railway detection systems designed to solve the challenges in railway operational safety, efficiency and predictive maintenance. The Company’s railway detection systems include different types of cameras, including optics, visible light spectrum cameras (video) and thermal cameras that transmit data to a ruggedized on-board computer which is designed to be suitable for the rough environment of a train’s locomotive.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and warrants began trading on the Nasdaq Capital Market (“Nasdaq”) on March 31, 2022, under the symbols “RVSN” and “RVSNW,” respectively (see Note 9B (4) below).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activities are subject to significant risks and uncertainties. The Company has incurred significant losses since the date of its inception and anticipates that it will continue to incur significant losses until it will be able to successfully commercialize its products. Failure to obtain this necessary capital when needed may force the Company to delay, limit or terminate its product development efforts or other operations. In addition, the Company is subject to risks including, among other things, competition associated with the industry in general, risks associated with financing, liquidity requirements, rapidly changing customer requirements, the loss of key personnel and the effect of planned expansion of operations on the future results of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significant revenues from its activities and has incurred substantial operating losses. Management expects the Company to continue to generate substantial operating losses and to continue to fund its operations primarily through the utilization of its current financial resources, sales of its products, and through additional raises of capital.</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15C, subsequent to the balance sheet date, the Company raised $8,830 as part of issuance of shares and exercise of warrants and according to the current monthly burn rate, the management anticipates that its cash and cash equivalents as of the issuance date of the financial statements and the future expected cash flow from sales will be sufficient for 12 months of operations.</w:t>
      </w:r>
    </w:p>
    <w:p>
      <w:pPr>
        <w:pStyle w:val="TextBody"/>
        <w:bidi w:val="0"/>
        <w:spacing w:before="0" w:after="0"/>
        <w:ind w:left="108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245"/>
        <w:gridCol w:w="43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w:t>
            </w:r>
          </w:p>
        </w:tc>
        <w:tc>
          <w:tcPr>
            <w:tcW w:w="434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Issuance of bonus shares and reverse split: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2022, the Company effected a bonus shares issuances under Israeli law to reflect the effect of 44-for-1 forward share split of the Company’s ordinary shares. Accordingly, (i) for each one share of outstanding ordinary shares, 43 additional ordinary shares were issued and distributed to the holder thereof; (ii) the number of ordinary shares issuable upon the exercise of each outstanding convertible preferred shares, warrant and option was proportionately increased by 43 additional ordinary shares; (iii) the exercise price of each outstanding option to purchase ordinary shares was proportionately adjusted; (iv) the authorized number of ordinary shares was increased in order to reflect such issuance of bonus shares; and (v) the par value of ordinary shares was not adjusted as result of this issuance of bonus shares.</w:t>
      </w:r>
    </w:p>
    <w:p>
      <w:pPr>
        <w:pStyle w:val="TextBody"/>
        <w:bidi w:val="0"/>
        <w:spacing w:before="0" w:after="0"/>
        <w:ind w:left="1134"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2023, the Company effected a one-for-eight (1-for-8) reverse stock split of its ordinary share (the “Reverse Split”). As a result of the Reverse Split, every eight (8) shares of ordinary share either issued and outstanding were combined into one new share of ordinary share. All outstanding securities entitling their holders to purchase ordinary shares, including options and warrants were adjusted as a result of the Reverse Split, as required by the terms of those securities. The Reverse Split changed the par value of the ordinary share from NIS 0.01 to NIS 0.08. the Reverse Split did not change the number of shares authorized for issuance. See also note 15D below.</w:t>
      </w:r>
    </w:p>
    <w:p>
      <w:pPr>
        <w:pStyle w:val="TextBody"/>
        <w:bidi w:val="0"/>
        <w:spacing w:before="0" w:after="0"/>
        <w:ind w:left="1134"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amounts, share prices, and exercise prices have been adjusted retroactively within these financial statements to reflect the issuance of the bonus shares and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br/>
      </w: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p>
      <w:pPr>
        <w:pStyle w:val="TextBody"/>
        <w:bidi w:val="0"/>
        <w:jc w:val="left"/>
        <w:rPr>
          <w:b/>
          <w:sz w:val="20"/>
        </w:rPr>
      </w:pPr>
      <w:r>
        <w:rPr>
          <w:b/>
          <w:sz w:val="20"/>
        </w:rPr>
        <w:t>NOTE 2 - SIGNIFICANT ACCOUNTING POLICIES</w:t>
      </w:r>
    </w:p>
    <w:p>
      <w:pPr>
        <w:pStyle w:val="TextBody"/>
        <w:bidi w:val="0"/>
        <w:spacing w:before="0" w:after="283"/>
        <w:jc w:val="left"/>
        <w:rPr/>
      </w:pPr>
      <w:r>
        <w:rPr/>
        <w:t> </w:t>
      </w:r>
    </w:p>
    <w:tbl>
      <w:tblPr>
        <w:tblW w:w="2523" w:type="dxa"/>
        <w:jc w:val="left"/>
        <w:tblInd w:w="0" w:type="dxa"/>
        <w:tblLayout w:type="fixed"/>
        <w:tblCellMar>
          <w:top w:w="0" w:type="dxa"/>
          <w:left w:w="0" w:type="dxa"/>
          <w:bottom w:w="0" w:type="dxa"/>
          <w:right w:w="0" w:type="dxa"/>
        </w:tblCellMar>
      </w:tblPr>
      <w:tblGrid>
        <w:gridCol w:w="38"/>
        <w:gridCol w:w="26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2225" w:type="dxa"/>
            <w:tcBorders/>
            <w:vAlign w:val="center"/>
          </w:tcPr>
          <w:p>
            <w:pPr>
              <w:pStyle w:val="TableContents"/>
              <w:bidi w:val="0"/>
              <w:spacing w:before="0" w:after="283"/>
              <w:jc w:val="both"/>
              <w:rPr>
                <w:b/>
              </w:rPr>
            </w:pPr>
            <w:r>
              <w:rPr>
                <w:b/>
              </w:rPr>
              <w:t>Basis of Presentation:</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have been prepared in conformity with accounting principles generally accepted in United Sates of America (“US GAAP”).</w:t>
      </w:r>
    </w:p>
    <w:p>
      <w:pPr>
        <w:pStyle w:val="TextBody"/>
        <w:bidi w:val="0"/>
        <w:spacing w:before="0" w:after="0"/>
        <w:ind w:left="1080"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24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5930" w:type="dxa"/>
            <w:tcBorders/>
            <w:vAlign w:val="center"/>
          </w:tcPr>
          <w:p>
            <w:pPr>
              <w:pStyle w:val="TableContents"/>
              <w:bidi w:val="0"/>
              <w:spacing w:before="0" w:after="283"/>
              <w:jc w:val="both"/>
              <w:rPr>
                <w:b/>
              </w:rPr>
            </w:pPr>
            <w:r>
              <w:rPr>
                <w:b/>
              </w:rPr>
              <w:t>Use of estimates in the preparation of financial statements: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reported in the financial statements and accompanying notes. The Company’s management believes that the estimates, judgments and assumptions used are reasonable based upon information available at the time they are made. These estimates, judgments and assumptions can affect reported amounts and disclosures made. Actual results could differ from those estimates.</w:t>
      </w:r>
    </w:p>
    <w:p>
      <w:pPr>
        <w:pStyle w:val="TextBody"/>
        <w:bidi w:val="0"/>
        <w:spacing w:before="0" w:after="0"/>
        <w:ind w:left="108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6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3590" w:type="dxa"/>
            <w:tcBorders/>
            <w:vAlign w:val="center"/>
          </w:tcPr>
          <w:p>
            <w:pPr>
              <w:pStyle w:val="TableContents"/>
              <w:bidi w:val="0"/>
              <w:spacing w:before="0" w:after="283"/>
              <w:jc w:val="both"/>
              <w:rPr>
                <w:b/>
              </w:rPr>
            </w:pPr>
            <w:r>
              <w:rPr>
                <w:b/>
              </w:rPr>
              <w:t>Financial statement in U.S. dollars: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U.S. dollar (“dollar” or “$”) since the dollar is the currency of the primary economic environment in which the Company has operated and expects to continue to operate in the foreseeable future.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and balances denominated in dollars are presented at their original amounts. Transactions and balances denominated in foreign currencies have been re-measured to dollars.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 gains and losses from re-measurement of monetary balance sheet items denominated in non-dollar currencies are reflected in the statements of comprehensive loss as financial income or expenses, as appropriate.</w:t>
      </w:r>
    </w:p>
    <w:p>
      <w:pPr>
        <w:pStyle w:val="TextBody"/>
        <w:bidi w:val="0"/>
        <w:spacing w:before="0" w:after="0"/>
        <w:ind w:left="0" w:right="0" w:firstLine="258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26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4775" w:type="dxa"/>
            <w:tcBorders/>
            <w:vAlign w:val="center"/>
          </w:tcPr>
          <w:p>
            <w:pPr>
              <w:pStyle w:val="TableContents"/>
              <w:bidi w:val="0"/>
              <w:spacing w:before="0" w:after="283"/>
              <w:jc w:val="both"/>
              <w:rPr>
                <w:b/>
              </w:rPr>
            </w:pPr>
            <w:r>
              <w:rPr>
                <w:b/>
              </w:rPr>
              <w:t>Cash and cash equivalents and restricted cash:</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short-term highly liquid investments that are readily convertible to cash with maturities of three months or less as of the date acquired, readily convertible to known amounts of cash and subject to an insignificant risk. Restricted cash consists of deposits pledged to a bank that provided guarantee in connection with an operating lease.</w:t>
      </w:r>
    </w:p>
    <w:p>
      <w:pPr>
        <w:pStyle w:val="TextBody"/>
        <w:bidi w:val="0"/>
        <w:spacing w:before="0" w:after="0"/>
        <w:ind w:left="1080" w:right="0" w:hanging="0"/>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24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E.</w:t>
            </w:r>
          </w:p>
        </w:tc>
        <w:tc>
          <w:tcPr>
            <w:tcW w:w="3590" w:type="dxa"/>
            <w:tcBorders/>
            <w:vAlign w:val="center"/>
          </w:tcPr>
          <w:p>
            <w:pPr>
              <w:pStyle w:val="TableContents"/>
              <w:bidi w:val="0"/>
              <w:spacing w:before="0" w:after="283"/>
              <w:jc w:val="both"/>
              <w:rPr>
                <w:b/>
              </w:rPr>
            </w:pPr>
            <w:r>
              <w:rPr>
                <w:b/>
              </w:rPr>
              <w:t>Fair value of financial instruments:</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restricted cash, accounts receivable, trade accounts payable, accrued expenses and employees and related expenses recorded in other accounts payable, approximate their fair value due to the short-term maturity of these instruments.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The Company also considers assumptions that market participants would use when pricing the asset or liability, such as, inherent risk, transfer restrictions and risk of nonperformance.</w:t>
      </w:r>
    </w:p>
    <w:p>
      <w:pPr>
        <w:pStyle w:val="TextBody"/>
        <w:bidi w:val="0"/>
        <w:spacing w:before="0" w:after="0"/>
        <w:ind w:left="1134" w:right="0" w:hanging="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23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F.</w:t>
            </w:r>
          </w:p>
        </w:tc>
        <w:tc>
          <w:tcPr>
            <w:tcW w:w="1250" w:type="dxa"/>
            <w:tcBorders/>
            <w:vAlign w:val="center"/>
          </w:tcPr>
          <w:p>
            <w:pPr>
              <w:pStyle w:val="TableContents"/>
              <w:bidi w:val="0"/>
              <w:spacing w:before="0" w:after="283"/>
              <w:jc w:val="both"/>
              <w:rPr>
                <w:b/>
              </w:rPr>
            </w:pPr>
            <w:r>
              <w:rPr>
                <w:b/>
              </w:rPr>
              <w:t>Inventories:</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market, with cost determined by the first-in, first-out method (FIFO) of inventory accounting. The Company capitalizes, material, labor, subcontractor and overhead costs as work-in-process for contracts where control has not yet passed to the customer. The valuation of the inventories requires to make estimates regarding excess or obsolete inventories, including making estimates of the future demand for products to be sold. Although the Company make every effort to ensure the accuracy of forecasts of future product demand, any significant unanticipated changes in demand, price, or technological developments could have a significant impact on the value of the inventory and reported operating results. Charges for excess and obsolete inventories are included within cost of revenue.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br/>
      </w: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p>
      <w:pPr>
        <w:pStyle w:val="TextBody"/>
        <w:bidi w:val="0"/>
        <w:spacing w:before="0" w:after="0"/>
        <w:ind w:left="6379" w:right="0" w:hanging="637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 (Cont.)</w:t>
      </w:r>
    </w:p>
    <w:p>
      <w:pPr>
        <w:pStyle w:val="TextBody"/>
        <w:bidi w:val="0"/>
        <w:spacing w:before="0" w:after="0"/>
        <w:ind w:left="1080" w:right="0" w:hanging="567"/>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60"/>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G.</w:t>
            </w:r>
          </w:p>
        </w:tc>
        <w:tc>
          <w:tcPr>
            <w:tcW w:w="1235" w:type="dxa"/>
            <w:tcBorders/>
            <w:vAlign w:val="center"/>
          </w:tcPr>
          <w:p>
            <w:pPr>
              <w:pStyle w:val="TableContents"/>
              <w:bidi w:val="0"/>
              <w:spacing w:before="0" w:after="283"/>
              <w:jc w:val="both"/>
              <w:rPr/>
            </w:pPr>
            <w:r>
              <w:rPr/>
              <w:t>Fixed assets: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are stated at cost, less accumulated depreciation. Depreciation is calculated by the straight-line method over the estimated useful lives of the assets. The annual depreciation rates are as follows:</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5"/>
        <w:gridCol w:w="60"/>
        <w:gridCol w:w="609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90" w:type="dxa"/>
            <w:tcBorders>
              <w:bottom w:val="single" w:sz="12" w:space="0" w:color="000000"/>
            </w:tcBorders>
            <w:tcMar>
              <w:bottom w:w="28" w:type="dxa"/>
            </w:tcMar>
            <w:vAlign w:val="center"/>
          </w:tcPr>
          <w:p>
            <w:pPr>
              <w:pStyle w:val="TableContents"/>
              <w:bidi w:val="0"/>
              <w:spacing w:before="0" w:after="283"/>
              <w:jc w:val="center"/>
              <w:rPr>
                <w:b/>
              </w:rPr>
            </w:pPr>
            <w:r>
              <w:rPr>
                <w:b/>
              </w:rPr>
              <w:t>%</w:t>
            </w:r>
          </w:p>
        </w:tc>
      </w:tr>
      <w:tr>
        <w:trPr/>
        <w:tc>
          <w:tcPr>
            <w:tcW w:w="4055" w:type="dxa"/>
            <w:tcBorders/>
            <w:shd w:fill="CCEEFF" w:val="clear"/>
            <w:vAlign w:val="center"/>
          </w:tcPr>
          <w:p>
            <w:pPr>
              <w:pStyle w:val="TableContents"/>
              <w:bidi w:val="0"/>
              <w:spacing w:before="0" w:after="283"/>
              <w:jc w:val="left"/>
              <w:rPr/>
            </w:pPr>
            <w:r>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6090" w:type="dxa"/>
            <w:tcBorders/>
            <w:shd w:fill="CCEEFF" w:val="clear"/>
            <w:vAlign w:val="center"/>
          </w:tcPr>
          <w:p>
            <w:pPr>
              <w:pStyle w:val="TableContents"/>
              <w:bidi w:val="0"/>
              <w:spacing w:before="0" w:after="283"/>
              <w:jc w:val="center"/>
              <w:rPr/>
            </w:pPr>
            <w:r>
              <w:rPr/>
              <w:t>7-15</w:t>
            </w:r>
          </w:p>
        </w:tc>
      </w:tr>
      <w:tr>
        <w:trPr/>
        <w:tc>
          <w:tcPr>
            <w:tcW w:w="4055" w:type="dxa"/>
            <w:tcBorders/>
            <w:vAlign w:val="center"/>
          </w:tcPr>
          <w:p>
            <w:pPr>
              <w:pStyle w:val="TableContents"/>
              <w:bidi w:val="0"/>
              <w:spacing w:before="0" w:after="283"/>
              <w:jc w:val="left"/>
              <w:rPr/>
            </w:pPr>
            <w:r>
              <w:rPr/>
              <w:t>Computer software and electronic equipment</w:t>
            </w:r>
          </w:p>
        </w:tc>
        <w:tc>
          <w:tcPr>
            <w:tcW w:w="60" w:type="dxa"/>
            <w:tcBorders/>
            <w:vAlign w:val="center"/>
          </w:tcPr>
          <w:p>
            <w:pPr>
              <w:pStyle w:val="TableContents"/>
              <w:bidi w:val="0"/>
              <w:spacing w:before="0" w:after="283"/>
              <w:jc w:val="left"/>
              <w:rPr/>
            </w:pPr>
            <w:r>
              <w:rPr/>
              <w:t> </w:t>
            </w:r>
          </w:p>
        </w:tc>
        <w:tc>
          <w:tcPr>
            <w:tcW w:w="6090" w:type="dxa"/>
            <w:tcBorders/>
            <w:vAlign w:val="center"/>
          </w:tcPr>
          <w:p>
            <w:pPr>
              <w:pStyle w:val="TableContents"/>
              <w:bidi w:val="0"/>
              <w:spacing w:before="0" w:after="283"/>
              <w:jc w:val="center"/>
              <w:rPr/>
            </w:pPr>
            <w:r>
              <w:rPr/>
              <w:t>33</w:t>
            </w:r>
          </w:p>
        </w:tc>
      </w:tr>
      <w:tr>
        <w:trPr/>
        <w:tc>
          <w:tcPr>
            <w:tcW w:w="4055" w:type="dxa"/>
            <w:tcBorders/>
            <w:shd w:fill="CCEEFF" w:val="clear"/>
            <w:vAlign w:val="center"/>
          </w:tcPr>
          <w:p>
            <w:pPr>
              <w:pStyle w:val="TableContents"/>
              <w:bidi w:val="0"/>
              <w:spacing w:before="0" w:after="283"/>
              <w:jc w:val="left"/>
              <w:rPr/>
            </w:pPr>
            <w:r>
              <w:rPr/>
              <w:t>Laboratory equipment</w:t>
            </w:r>
          </w:p>
        </w:tc>
        <w:tc>
          <w:tcPr>
            <w:tcW w:w="60" w:type="dxa"/>
            <w:tcBorders/>
            <w:shd w:fill="CCEEFF" w:val="clear"/>
            <w:vAlign w:val="center"/>
          </w:tcPr>
          <w:p>
            <w:pPr>
              <w:pStyle w:val="TableContents"/>
              <w:bidi w:val="0"/>
              <w:spacing w:before="0" w:after="283"/>
              <w:jc w:val="left"/>
              <w:rPr/>
            </w:pPr>
            <w:r>
              <w:rPr/>
              <w:t> </w:t>
            </w:r>
          </w:p>
        </w:tc>
        <w:tc>
          <w:tcPr>
            <w:tcW w:w="6090" w:type="dxa"/>
            <w:tcBorders/>
            <w:shd w:fill="CCEEFF" w:val="clear"/>
            <w:vAlign w:val="center"/>
          </w:tcPr>
          <w:p>
            <w:pPr>
              <w:pStyle w:val="TableContents"/>
              <w:bidi w:val="0"/>
              <w:spacing w:before="0" w:after="283"/>
              <w:jc w:val="center"/>
              <w:rPr/>
            </w:pPr>
            <w:r>
              <w:rPr/>
              <w:t>7-15</w:t>
            </w:r>
          </w:p>
        </w:tc>
      </w:tr>
      <w:tr>
        <w:trPr/>
        <w:tc>
          <w:tcPr>
            <w:tcW w:w="4055" w:type="dxa"/>
            <w:tcBorders/>
            <w:vAlign w:val="center"/>
          </w:tcPr>
          <w:p>
            <w:pPr>
              <w:pStyle w:val="TableContents"/>
              <w:bidi w:val="0"/>
              <w:spacing w:before="0" w:after="283"/>
              <w:jc w:val="left"/>
              <w:rPr/>
            </w:pPr>
            <w:r>
              <w:rPr/>
              <w:t>Leasehold improvements</w:t>
            </w:r>
          </w:p>
        </w:tc>
        <w:tc>
          <w:tcPr>
            <w:tcW w:w="60" w:type="dxa"/>
            <w:tcBorders/>
            <w:vAlign w:val="center"/>
          </w:tcPr>
          <w:p>
            <w:pPr>
              <w:pStyle w:val="TableContents"/>
              <w:bidi w:val="0"/>
              <w:spacing w:before="0" w:after="283"/>
              <w:jc w:val="left"/>
              <w:rPr/>
            </w:pPr>
            <w:r>
              <w:rPr/>
              <w:t> </w:t>
            </w:r>
          </w:p>
        </w:tc>
        <w:tc>
          <w:tcPr>
            <w:tcW w:w="6090" w:type="dxa"/>
            <w:tcBorders/>
            <w:vAlign w:val="center"/>
          </w:tcPr>
          <w:p>
            <w:pPr>
              <w:pStyle w:val="TableContents"/>
              <w:bidi w:val="0"/>
              <w:spacing w:before="0" w:after="283"/>
              <w:jc w:val="center"/>
              <w:rPr/>
            </w:pPr>
            <w:r>
              <w:rPr/>
              <w:t>Over the shorter of the lease term (including the option) or useful life</w:t>
            </w:r>
          </w:p>
        </w:tc>
      </w:tr>
    </w:tbl>
    <w:p>
      <w:pPr>
        <w:pStyle w:val="TextBody"/>
        <w:bidi w:val="0"/>
        <w:spacing w:before="0" w:after="0"/>
        <w:ind w:left="0" w:right="0" w:hanging="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26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H.</w:t>
            </w:r>
          </w:p>
        </w:tc>
        <w:tc>
          <w:tcPr>
            <w:tcW w:w="3050" w:type="dxa"/>
            <w:tcBorders/>
            <w:vAlign w:val="center"/>
          </w:tcPr>
          <w:p>
            <w:pPr>
              <w:pStyle w:val="TableContents"/>
              <w:bidi w:val="0"/>
              <w:spacing w:before="0" w:after="283"/>
              <w:jc w:val="both"/>
              <w:rPr/>
            </w:pPr>
            <w:r>
              <w:rPr/>
              <w:t>Impairment of long-lived assets: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long-lived assets are reviewed for impairment whenever events or changes in circumstances indicate that the carrying amount of an asset may not be recoverable.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their fair value. During 2023 and 2022, no impairment losses were recognized.</w:t>
      </w:r>
    </w:p>
    <w:p>
      <w:pPr>
        <w:pStyle w:val="TextBody"/>
        <w:bidi w:val="0"/>
        <w:spacing w:before="0" w:after="0"/>
        <w:ind w:left="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I.</w:t>
            </w:r>
          </w:p>
        </w:tc>
        <w:tc>
          <w:tcPr>
            <w:tcW w:w="3530" w:type="dxa"/>
            <w:tcBorders/>
            <w:vAlign w:val="center"/>
          </w:tcPr>
          <w:p>
            <w:pPr>
              <w:pStyle w:val="TableContents"/>
              <w:bidi w:val="0"/>
              <w:spacing w:before="0" w:after="283"/>
              <w:jc w:val="both"/>
              <w:rPr>
                <w:b/>
              </w:rPr>
            </w:pPr>
            <w:r>
              <w:rPr>
                <w:b/>
              </w:rPr>
              <w:t>Accrued post-employment benefit:</w:t>
            </w:r>
          </w:p>
        </w:tc>
      </w:tr>
    </w:tbl>
    <w:p>
      <w:pPr>
        <w:pStyle w:val="TextBody"/>
        <w:bidi w:val="0"/>
        <w:spacing w:before="0" w:after="0"/>
        <w:ind w:left="117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employment laws, employees of the Company are covered under Section 14 of the Severance Compensation Act, 1963 (“Section 14”) for a portion of their salaries. According to Section 14, these employees are entitled to receive monthly deposits (payments) made by the Company on their behalf with insurance companies.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in accordance with Section 14 release the Company from any future severance payments (under the Israeli Severance Compensation Act, 1963) with respect of those employees. The obligation to make the monthly deposits is expensed as incurred. In addition, the aforementioned deposits are not recorded as an asset in the Company’s balance sheet, and there is no liability recorded as the Company does not have a future obligation to make any additional payments.</w:t>
      </w:r>
    </w:p>
    <w:p>
      <w:pPr>
        <w:pStyle w:val="TextBody"/>
        <w:bidi w:val="0"/>
        <w:spacing w:before="0" w:after="0"/>
        <w:ind w:left="6379" w:right="0" w:hanging="6379"/>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0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J.</w:t>
            </w:r>
          </w:p>
        </w:tc>
        <w:tc>
          <w:tcPr>
            <w:tcW w:w="2195" w:type="dxa"/>
            <w:tcBorders/>
            <w:vAlign w:val="center"/>
          </w:tcPr>
          <w:p>
            <w:pPr>
              <w:pStyle w:val="TableContents"/>
              <w:bidi w:val="0"/>
              <w:spacing w:before="0" w:after="283"/>
              <w:jc w:val="both"/>
              <w:rPr>
                <w:b/>
              </w:rPr>
            </w:pPr>
            <w:r>
              <w:rPr>
                <w:b/>
              </w:rPr>
              <w:t>Revenue recognition:</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606 “Revenue from contracts with customers” (“ASC 606”). Under ASC 606, revenue is measured as the amount of consideration the Company expects to be entitled to, in exchange for transferring products or providing services to its customers and is recognized when or as performance obligations under the terms of contracts with the Company’s customers are satisfied. ASC 606 prescribes a five-step model for recognizing revenue from contracts with customers: (i) identify contract(s) with the customer; (ii) identify the separate performance obligations in the contract; (iii) determine the transaction price; (iv) allocate the transaction price to the separate performance obligations in the contract; and (v) recognize revenue when (or as) each performance obligation is satisfied.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The Company then allocates the transaction price (the amount of consideration the Company expects to be entitled to from a customer in exchange for the promised goods or services) to each performance obligation and recognizes the associated revenue when (or as) each performance obligation is satisfied.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product sales are recognized upon the transfer of control, which is generally upon shipment or delivery.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br/>
      </w: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p>
      <w:pPr>
        <w:pStyle w:val="TextBody"/>
        <w:bidi w:val="0"/>
        <w:spacing w:before="0" w:after="0"/>
        <w:ind w:left="6379" w:right="0" w:hanging="637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 (Cont.)</w:t>
      </w:r>
    </w:p>
    <w:p>
      <w:pPr>
        <w:pStyle w:val="TextBody"/>
        <w:bidi w:val="0"/>
        <w:spacing w:before="0" w:after="0"/>
        <w:ind w:left="1170" w:right="0" w:hanging="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20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J.</w:t>
            </w:r>
          </w:p>
        </w:tc>
        <w:tc>
          <w:tcPr>
            <w:tcW w:w="2975" w:type="dxa"/>
            <w:tcBorders/>
            <w:vAlign w:val="center"/>
          </w:tcPr>
          <w:p>
            <w:pPr>
              <w:pStyle w:val="TableContents"/>
              <w:bidi w:val="0"/>
              <w:spacing w:before="0" w:after="283"/>
              <w:jc w:val="both"/>
              <w:rPr>
                <w:b/>
              </w:rPr>
            </w:pPr>
            <w:r>
              <w:rPr>
                <w:b/>
              </w:rPr>
              <w:t>Revenue recognition (Cont.):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represents amounts received by the Company for which the related revenues have not been recognized because one or more of the revenue recognition criteria have not been met.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portion of deferred revenue represents the amount to be recognized within one year from the balance sheet date based on the estimated performance period of the underlying performance obligation, see Note 6 below.</w:t>
      </w:r>
    </w:p>
    <w:p>
      <w:pPr>
        <w:pStyle w:val="TextBody"/>
        <w:bidi w:val="0"/>
        <w:spacing w:before="0" w:after="0"/>
        <w:ind w:left="1080" w:right="0" w:hanging="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26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K.</w:t>
            </w:r>
          </w:p>
        </w:tc>
        <w:tc>
          <w:tcPr>
            <w:tcW w:w="2315" w:type="dxa"/>
            <w:tcBorders/>
            <w:vAlign w:val="center"/>
          </w:tcPr>
          <w:p>
            <w:pPr>
              <w:pStyle w:val="TableContents"/>
              <w:bidi w:val="0"/>
              <w:spacing w:before="0" w:after="283"/>
              <w:jc w:val="both"/>
              <w:rPr>
                <w:b/>
              </w:rPr>
            </w:pPr>
            <w:r>
              <w:rPr>
                <w:b/>
              </w:rPr>
              <w:t>Share-based payment: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718-10, “Share-Based Payment,” (“ASC 718-10”) which requires the measurement and recognition of compensation expenses for all share-based payment awards granted to employees and directors including share options granted under the Company’s incentive share option plan based on estimated fair values</w:t>
      </w:r>
      <w:r>
        <w:rPr>
          <w:rFonts w:ascii="Times New Roman;Times;Serif" w:hAnsi="Times New Roman;Times;Serif"/>
          <w:b/>
          <w:i w:val="false"/>
          <w:caps w:val="false"/>
          <w:smallCaps w:val="false"/>
          <w:sz w:val="20"/>
        </w:rPr>
        <w:t>.</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718-10 requires companies to estimate the fair value of share-based payment awards on the date of grant. The portion of the grant-date fair value of the share-based payment award that is ultimately expected to vest is recognized as an expense over the requisite service periods in the Company’s statements of comprehensive loss.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share options granted as share-based payment awards using a Black-Scholes option pricing model. The Black-Scholes option pricing model requires a number of assumptions, of which the most significant are share price, expected volatility and the expected option term (the time from the grant date until the options are exercised or expire). Expected volatility is estimated based on volatility of similar companies in the technology sector. The expected option term is calculated for options granted to employees and directors using the “simplified” method, and grants to non-employees are based on the contractual term. The Company has historically not paid dividends and has no foreseeable plans to pay dividends. The risk-free interest rate is based on the yield from Israel Treasury zero-coupon bonds with an equivalent term. Changes in the determination of each of the inputs can affect the fair value of the share options granted and the results of operations of the Company.</w:t>
      </w:r>
    </w:p>
    <w:p>
      <w:pPr>
        <w:pStyle w:val="TextBody"/>
        <w:bidi w:val="0"/>
        <w:spacing w:before="0" w:after="0"/>
        <w:ind w:left="1080" w:right="0" w:hanging="0"/>
        <w:jc w:val="both"/>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245"/>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L.</w:t>
            </w:r>
          </w:p>
        </w:tc>
        <w:tc>
          <w:tcPr>
            <w:tcW w:w="785" w:type="dxa"/>
            <w:tcBorders/>
            <w:vAlign w:val="center"/>
          </w:tcPr>
          <w:p>
            <w:pPr>
              <w:pStyle w:val="TableContents"/>
              <w:bidi w:val="0"/>
              <w:spacing w:before="0" w:after="283"/>
              <w:jc w:val="both"/>
              <w:rPr>
                <w:b/>
              </w:rPr>
            </w:pPr>
            <w:r>
              <w:rPr>
                <w:b/>
              </w:rPr>
              <w:t>Leases:</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and vehicles under operating leases.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are included in operating lease right of use (“ROU”) assets and operating lease liabilities in the Company’s balance sheets. ROU assets represent the Company’s right to use an underlying asset for the lease term and lease liabilities represent the Company’s obligation to make lease payments arising from the lease. Operating lease ROU assets and liabilities were recognized based on the present value of the remaining lease payments over the lease term. The Company’s incremental borrowing rate is used in determining the present value of lease payments because rate implicit in the Company’s leases is not readily determinable. The expected lease terms include options to extend or terminate the lease when it is reasonably certain that such options will be exercised. Operating lease expense is recognized on a straight-line basis over the lease term, variable payments are expensed in the periods incurred.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made an accounting policy election not to recognize ROU assets and lease liabilities that arise from leases with initial terms of 12 months or less. Instead, the Company continues to record such lease expenses on a straight-line basis over the lease term in the statements of comprehensive loss.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br/>
      </w: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p>
      <w:pPr>
        <w:pStyle w:val="TextBody"/>
        <w:bidi w:val="0"/>
        <w:spacing w:before="0" w:after="0"/>
        <w:ind w:left="6379" w:right="0" w:hanging="637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 (Cont.)</w:t>
      </w:r>
    </w:p>
    <w:p>
      <w:pPr>
        <w:pStyle w:val="TextBody"/>
        <w:bidi w:val="0"/>
        <w:spacing w:before="0" w:after="0"/>
        <w:ind w:left="1134" w:right="0" w:hanging="0"/>
        <w:jc w:val="both"/>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305"/>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M.</w:t>
            </w:r>
          </w:p>
        </w:tc>
        <w:tc>
          <w:tcPr>
            <w:tcW w:w="4235" w:type="dxa"/>
            <w:tcBorders/>
            <w:vAlign w:val="center"/>
          </w:tcPr>
          <w:p>
            <w:pPr>
              <w:pStyle w:val="TableContents"/>
              <w:bidi w:val="0"/>
              <w:spacing w:before="0" w:after="283"/>
              <w:jc w:val="both"/>
              <w:rPr>
                <w:b/>
              </w:rPr>
            </w:pPr>
            <w:r>
              <w:rPr>
                <w:b/>
              </w:rPr>
              <w:t>Research and development expenses, net: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net, are charged to the statements of comprehensive loss as incurred.</w:t>
      </w:r>
    </w:p>
    <w:p>
      <w:pPr>
        <w:pStyle w:val="TextBody"/>
        <w:bidi w:val="0"/>
        <w:spacing w:before="0" w:after="0"/>
        <w:ind w:left="1134" w:right="0" w:hanging="0"/>
        <w:jc w:val="both"/>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26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N.</w:t>
            </w:r>
          </w:p>
        </w:tc>
        <w:tc>
          <w:tcPr>
            <w:tcW w:w="4640" w:type="dxa"/>
            <w:tcBorders/>
            <w:vAlign w:val="center"/>
          </w:tcPr>
          <w:p>
            <w:pPr>
              <w:pStyle w:val="TableContents"/>
              <w:bidi w:val="0"/>
              <w:spacing w:before="0" w:after="283"/>
              <w:jc w:val="both"/>
              <w:rPr>
                <w:b/>
              </w:rPr>
            </w:pPr>
            <w:r>
              <w:rPr>
                <w:b/>
              </w:rPr>
              <w:t>Basic and diluted net loss per ordinary share: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ordinary share is computed by dividing the net loss by the weighted average number of ordinary shares outstanding during the year. Diluted loss per share is computed by dividing the net loss by the weighted average number of ordinary shares outstanding plus the number of additional ordinary shares that would have been outstanding if all potentially dilutive ordinary shares had been issued, using the treasury stock method. Potentially dilutive ordinary shares were excluded from the diluted loss per share calculation because they were anti-dilutive.</w:t>
      </w:r>
    </w:p>
    <w:p>
      <w:pPr>
        <w:pStyle w:val="TextBody"/>
        <w:bidi w:val="0"/>
        <w:spacing w:before="0" w:after="0"/>
        <w:ind w:left="1080" w:right="0" w:hanging="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26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O.</w:t>
            </w:r>
          </w:p>
        </w:tc>
        <w:tc>
          <w:tcPr>
            <w:tcW w:w="3155" w:type="dxa"/>
            <w:tcBorders/>
            <w:vAlign w:val="center"/>
          </w:tcPr>
          <w:p>
            <w:pPr>
              <w:pStyle w:val="TableContents"/>
              <w:bidi w:val="0"/>
              <w:spacing w:before="0" w:after="283"/>
              <w:jc w:val="both"/>
              <w:rPr>
                <w:b/>
              </w:rPr>
            </w:pPr>
            <w:r>
              <w:rPr>
                <w:b/>
              </w:rPr>
              <w:t>Recent Accounting Standards: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starting January 1, 2025. Early adoption is permitted, and the amendments should be applied on a prospective basis. The Company is currently evaluating the effect of adopting the ASU on its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the following as of December 31, 2023 and 2022:</w:t>
      </w:r>
    </w:p>
    <w:p>
      <w:pPr>
        <w:pStyle w:val="TextBody"/>
        <w:bidi w:val="0"/>
        <w:spacing w:before="0" w:after="0"/>
        <w:ind w:left="1134" w:right="0" w:hanging="0"/>
        <w:jc w:val="both"/>
        <w:rPr>
          <w:caps w:val="false"/>
          <w:smallCaps w:val="false"/>
        </w:rPr>
      </w:pPr>
      <w:r>
        <w:rPr>
          <w:caps w:val="false"/>
          <w:smallCaps w:val="false"/>
        </w:rPr>
        <w:t> </w:t>
      </w:r>
    </w:p>
    <w:tbl>
      <w:tblPr>
        <w:tblW w:w="3127" w:type="dxa"/>
        <w:jc w:val="left"/>
        <w:tblInd w:w="0" w:type="dxa"/>
        <w:tblLayout w:type="fixed"/>
        <w:tblCellMar>
          <w:top w:w="0" w:type="dxa"/>
          <w:left w:w="0" w:type="dxa"/>
          <w:bottom w:w="0" w:type="dxa"/>
          <w:right w:w="0" w:type="dxa"/>
        </w:tblCellMar>
      </w:tblPr>
      <w:tblGrid>
        <w:gridCol w:w="1580"/>
        <w:gridCol w:w="60"/>
        <w:gridCol w:w="158"/>
        <w:gridCol w:w="430"/>
        <w:gridCol w:w="67"/>
        <w:gridCol w:w="67"/>
        <w:gridCol w:w="158"/>
        <w:gridCol w:w="532"/>
        <w:gridCol w:w="75"/>
      </w:tblGrid>
      <w:tr>
        <w:trPr/>
        <w:tc>
          <w:tcPr>
            <w:tcW w:w="15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88" w:type="dxa"/>
            <w:gridSpan w:val="2"/>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9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505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0"/>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both"/>
              <w:rPr/>
            </w:pPr>
            <w:r>
              <w:rPr/>
              <w:t>Work in process</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right"/>
              <w:rPr/>
            </w:pPr>
            <w:r>
              <w:rPr/>
              <w:t>383</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both"/>
              <w:rPr/>
            </w:pPr>
            <w:r>
              <w:rPr/>
              <w:t>Finished goods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right"/>
              <w:rPr/>
            </w:pPr>
            <w:r>
              <w:rPr/>
              <w:t>89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8" w:type="dxa"/>
            <w:tcBorders>
              <w:bottom w:val="double" w:sz="10" w:space="0" w:color="000000"/>
            </w:tcBorders>
            <w:tcMar>
              <w:bottom w:w="28" w:type="dxa"/>
            </w:tcMar>
            <w:vAlign w:val="center"/>
          </w:tcPr>
          <w:p>
            <w:pPr>
              <w:pStyle w:val="TableContents"/>
              <w:bidi w:val="0"/>
              <w:spacing w:before="0" w:after="283"/>
              <w:jc w:val="left"/>
              <w:rPr/>
            </w:pPr>
            <w:r>
              <w:rPr/>
              <w:t>$</w:t>
            </w:r>
          </w:p>
        </w:tc>
        <w:tc>
          <w:tcPr>
            <w:tcW w:w="430" w:type="dxa"/>
            <w:tcBorders>
              <w:bottom w:val="double" w:sz="10" w:space="0" w:color="000000"/>
            </w:tcBorders>
            <w:tcMar>
              <w:bottom w:w="28" w:type="dxa"/>
            </w:tcMar>
            <w:vAlign w:val="center"/>
          </w:tcPr>
          <w:p>
            <w:pPr>
              <w:pStyle w:val="TableContents"/>
              <w:bidi w:val="0"/>
              <w:spacing w:before="0" w:after="283"/>
              <w:jc w:val="right"/>
              <w:rPr/>
            </w:pPr>
            <w:r>
              <w:rPr/>
              <w:t>977</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8" w:type="dxa"/>
            <w:tcBorders>
              <w:bottom w:val="double" w:sz="10" w:space="0" w:color="000000"/>
            </w:tcBorders>
            <w:tcMar>
              <w:bottom w:w="28" w:type="dxa"/>
            </w:tcMar>
            <w:vAlign w:val="center"/>
          </w:tcPr>
          <w:p>
            <w:pPr>
              <w:pStyle w:val="TableContents"/>
              <w:bidi w:val="0"/>
              <w:spacing w:before="0" w:after="283"/>
              <w:jc w:val="left"/>
              <w:rPr/>
            </w:pPr>
            <w:r>
              <w:rPr/>
              <w:t>$</w:t>
            </w:r>
          </w:p>
        </w:tc>
        <w:tc>
          <w:tcPr>
            <w:tcW w:w="532" w:type="dxa"/>
            <w:tcBorders>
              <w:bottom w:val="double" w:sz="10"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 of the following as of December 31, 2023 and 2022:</w:t>
      </w:r>
    </w:p>
    <w:p>
      <w:pPr>
        <w:pStyle w:val="TextBody"/>
        <w:bidi w:val="0"/>
        <w:spacing w:before="0" w:after="0"/>
        <w:ind w:left="720" w:right="0" w:hanging="0"/>
        <w:jc w:val="both"/>
        <w:rPr>
          <w:caps w:val="false"/>
          <w:smallCaps w:val="false"/>
        </w:rPr>
      </w:pPr>
      <w:r>
        <w:rPr>
          <w:caps w:val="false"/>
          <w:smallCaps w:val="false"/>
        </w:rPr>
        <w:t> </w:t>
      </w:r>
    </w:p>
    <w:tbl>
      <w:tblPr>
        <w:tblW w:w="5392" w:type="dxa"/>
        <w:jc w:val="left"/>
        <w:tblInd w:w="0" w:type="dxa"/>
        <w:tblLayout w:type="fixed"/>
        <w:tblCellMar>
          <w:top w:w="0" w:type="dxa"/>
          <w:left w:w="0" w:type="dxa"/>
          <w:bottom w:w="0" w:type="dxa"/>
          <w:right w:w="0" w:type="dxa"/>
        </w:tblCellMar>
      </w:tblPr>
      <w:tblGrid>
        <w:gridCol w:w="3845"/>
        <w:gridCol w:w="60"/>
        <w:gridCol w:w="154"/>
        <w:gridCol w:w="420"/>
        <w:gridCol w:w="66"/>
        <w:gridCol w:w="66"/>
        <w:gridCol w:w="154"/>
        <w:gridCol w:w="552"/>
        <w:gridCol w:w="75"/>
      </w:tblGrid>
      <w:tr>
        <w:trPr/>
        <w:tc>
          <w:tcPr>
            <w:tcW w:w="3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74" w:type="dxa"/>
            <w:gridSpan w:val="2"/>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06"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Government institutions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420" w:type="dxa"/>
            <w:tcBorders/>
            <w:shd w:fill="CCEEFF" w:val="clear"/>
            <w:vAlign w:val="center"/>
          </w:tcPr>
          <w:p>
            <w:pPr>
              <w:pStyle w:val="TableContents"/>
              <w:bidi w:val="0"/>
              <w:spacing w:before="0" w:after="283"/>
              <w:jc w:val="right"/>
              <w:rPr/>
            </w:pPr>
            <w:r>
              <w:rPr/>
              <w:t>88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    </w:t>
            </w:r>
            <w:r>
              <w:rPr/>
              <w:t>27</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both"/>
              <w:rPr/>
            </w:pPr>
            <w:r>
              <w:rPr/>
              <w:t>Deposits at the Chamber of Commerce</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right"/>
              <w:rPr/>
            </w:pPr>
            <w:r>
              <w:rPr/>
              <w:t>14</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Deferred expenses (See note 7H)</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pPr>
            <w:r>
              <w:rPr/>
              <w:t>39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both"/>
              <w:rPr/>
            </w:pPr>
            <w:r>
              <w:rPr/>
              <w:t>Deferred cost of revenues (See note 7H)</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right"/>
              <w:rPr/>
            </w:pPr>
            <w:r>
              <w:rPr/>
              <w:t>85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right"/>
              <w:rPr/>
            </w:pPr>
            <w:r>
              <w:rPr/>
              <w:t>87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118</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both"/>
              <w:rPr/>
            </w:pPr>
            <w:r>
              <w:rPr/>
              <w:t>Other</w:t>
            </w:r>
          </w:p>
        </w:tc>
        <w:tc>
          <w:tcPr>
            <w:tcW w:w="60" w:type="dxa"/>
            <w:tcBorders/>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before="0" w:after="283"/>
              <w:jc w:val="left"/>
              <w:rPr/>
            </w:pPr>
            <w:r>
              <w:rPr/>
              <w:t> </w:t>
            </w:r>
          </w:p>
        </w:tc>
        <w:tc>
          <w:tcPr>
            <w:tcW w:w="420" w:type="dxa"/>
            <w:tcBorders>
              <w:bottom w:val="single" w:sz="12" w:space="0" w:color="000000"/>
            </w:tcBorders>
            <w:tcMar>
              <w:bottom w:w="28" w:type="dxa"/>
            </w:tcMar>
            <w:vAlign w:val="center"/>
          </w:tcPr>
          <w:p>
            <w:pPr>
              <w:pStyle w:val="TableContents"/>
              <w:bidi w:val="0"/>
              <w:spacing w:before="0" w:after="283"/>
              <w:jc w:val="right"/>
              <w:rPr/>
            </w:pPr>
            <w:r>
              <w:rPr/>
              <w:t>23</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tcMar>
              <w:bottom w:w="28" w:type="dxa"/>
            </w:tcMar>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20" w:type="dxa"/>
            <w:tcBorders>
              <w:bottom w:val="double" w:sz="10" w:space="0" w:color="000000"/>
            </w:tcBorders>
            <w:shd w:fill="CCEEFF" w:val="clear"/>
            <w:tcMar>
              <w:bottom w:w="28" w:type="dxa"/>
            </w:tcMar>
            <w:vAlign w:val="center"/>
          </w:tcPr>
          <w:p>
            <w:pPr>
              <w:pStyle w:val="TableContents"/>
              <w:bidi w:val="0"/>
              <w:spacing w:before="0" w:after="283"/>
              <w:jc w:val="right"/>
              <w:rPr/>
            </w:pPr>
            <w:r>
              <w:rPr/>
              <w:t>336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2" w:type="dxa"/>
            <w:tcBorders>
              <w:bottom w:val="double" w:sz="10" w:space="0" w:color="000000"/>
            </w:tcBorders>
            <w:shd w:fill="CCEEFF" w:val="clear"/>
            <w:tcMar>
              <w:bottom w:w="28" w:type="dxa"/>
            </w:tcMar>
            <w:vAlign w:val="center"/>
          </w:tcPr>
          <w:p>
            <w:pPr>
              <w:pStyle w:val="TableContents"/>
              <w:bidi w:val="0"/>
              <w:spacing w:before="0" w:after="283"/>
              <w:jc w:val="right"/>
              <w:rPr/>
            </w:pPr>
            <w:r>
              <w:rPr/>
              <w:t>225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br/>
      </w: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FIXED ASSETS, NET</w:t>
      </w:r>
    </w:p>
    <w:p>
      <w:pPr>
        <w:pStyle w:val="TextBody"/>
        <w:bidi w:val="0"/>
        <w:spacing w:before="0" w:after="0"/>
        <w:ind w:left="0" w:right="0" w:hanging="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960"/>
        <w:gridCol w:w="60"/>
        <w:gridCol w:w="140"/>
        <w:gridCol w:w="560"/>
        <w:gridCol w:w="60"/>
        <w:gridCol w:w="60"/>
        <w:gridCol w:w="140"/>
        <w:gridCol w:w="560"/>
        <w:gridCol w:w="75"/>
      </w:tblGrid>
      <w:tr>
        <w:trPr/>
        <w:tc>
          <w:tcPr>
            <w:tcW w:w="29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b/>
                <w:u w:val="single"/>
              </w:rPr>
            </w:pPr>
            <w:r>
              <w:rPr>
                <w:b/>
                <w:u w:val="single"/>
              </w:rPr>
              <w:t>Cost:</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Computers and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573</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Laboratory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408</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Furniture and office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161</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Leasehold improvement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right"/>
              <w:rPr/>
            </w:pPr>
            <w:r>
              <w:rPr/>
              <w:t>146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right"/>
              <w:rPr/>
            </w:pPr>
            <w:r>
              <w:rPr/>
              <w:t>136</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1,278</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b/>
                <w:u w:val="single"/>
              </w:rPr>
            </w:pPr>
            <w:r>
              <w:rPr>
                <w:b/>
                <w:u w:val="single"/>
              </w:rPr>
              <w:t>Accumulated depreciation: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Computers and software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673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574</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Laboratory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172</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Furniture and office equipment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Leasehold improvement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59</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tcMar>
              <w:bottom w:w="28" w:type="dxa"/>
            </w:tcMar>
            <w:vAlign w:val="center"/>
          </w:tcPr>
          <w:p>
            <w:pPr>
              <w:pStyle w:val="TableContents"/>
              <w:bidi w:val="0"/>
              <w:spacing w:before="0" w:after="283"/>
              <w:jc w:val="right"/>
              <w:rPr/>
            </w:pPr>
            <w:r>
              <w:rPr/>
              <w:t>829</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Carrying amount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tcMar>
              <w:bottom w:w="28" w:type="dxa"/>
            </w:tcMar>
            <w:vAlign w:val="center"/>
          </w:tcPr>
          <w:p>
            <w:pPr>
              <w:pStyle w:val="TableContents"/>
              <w:bidi w:val="0"/>
              <w:spacing w:before="0" w:after="283"/>
              <w:jc w:val="right"/>
              <w:rPr/>
            </w:pPr>
            <w:r>
              <w:rPr/>
              <w:t>430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tcMar>
              <w:bottom w:w="28" w:type="dxa"/>
            </w:tcMar>
            <w:vAlign w:val="center"/>
          </w:tcPr>
          <w:p>
            <w:pPr>
              <w:pStyle w:val="TableContents"/>
              <w:bidi w:val="0"/>
              <w:spacing w:before="0" w:after="283"/>
              <w:jc w:val="right"/>
              <w:rPr/>
            </w:pPr>
            <w:r>
              <w:rPr/>
              <w:t>449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the years ended December 31, 2023, 2022 and 2021 were $171, $150 and $142, respectively.</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OTHER ACCOUNTS PAYABLE</w:t>
      </w:r>
    </w:p>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095"/>
        <w:gridCol w:w="60"/>
        <w:gridCol w:w="140"/>
        <w:gridCol w:w="560"/>
        <w:gridCol w:w="60"/>
        <w:gridCol w:w="60"/>
        <w:gridCol w:w="140"/>
        <w:gridCol w:w="560"/>
        <w:gridCol w:w="75"/>
      </w:tblGrid>
      <w:tr>
        <w:trPr/>
        <w:tc>
          <w:tcPr>
            <w:tcW w:w="30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Employees and related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824</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Accrued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208</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pPr>
            <w:r>
              <w:rPr/>
              <w:t>Deferred revenues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tcMar>
              <w:bottom w:w="28" w:type="dxa"/>
            </w:tcMar>
            <w:vAlign w:val="center"/>
          </w:tcPr>
          <w:p>
            <w:pPr>
              <w:pStyle w:val="TableContents"/>
              <w:bidi w:val="0"/>
              <w:spacing w:before="0" w:after="283"/>
              <w:jc w:val="right"/>
              <w:rPr/>
            </w:pPr>
            <w:r>
              <w:rPr/>
              <w:t>2,140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tcMar>
              <w:bottom w:w="28" w:type="dxa"/>
            </w:tcMar>
            <w:vAlign w:val="center"/>
          </w:tcPr>
          <w:p>
            <w:pPr>
              <w:pStyle w:val="TableContents"/>
              <w:bidi w:val="0"/>
              <w:spacing w:before="0" w:after="283"/>
              <w:jc w:val="right"/>
              <w:rPr/>
            </w:pPr>
            <w:r>
              <w:rPr/>
              <w:t>1,032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134"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05"/>
        <w:gridCol w:w="3470"/>
      </w:tblGrid>
      <w:tr>
        <w:trPr/>
        <w:tc>
          <w:tcPr>
            <w:tcW w:w="305"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pPr>
            <w:r>
              <w:rPr/>
              <w:t>See also notes 7A(2) and 7H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br/>
      </w: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CONTINGENCIES LIABILITIES</w:t>
      </w:r>
    </w:p>
    <w:p>
      <w:pPr>
        <w:pStyle w:val="TextBody"/>
        <w:bidi w:val="0"/>
        <w:spacing w:before="0" w:after="0"/>
        <w:ind w:left="0" w:right="0" w:hanging="0"/>
        <w:jc w:val="both"/>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26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4175" w:type="dxa"/>
            <w:tcBorders/>
            <w:vAlign w:val="center"/>
          </w:tcPr>
          <w:p>
            <w:pPr>
              <w:pStyle w:val="TableContents"/>
              <w:bidi w:val="0"/>
              <w:spacing w:before="0" w:after="283"/>
              <w:jc w:val="both"/>
              <w:rPr>
                <w:b/>
              </w:rPr>
            </w:pPr>
            <w:r>
              <w:rPr>
                <w:b/>
              </w:rPr>
              <w:t>Israel Railways Ltd. (“Israel Railways”):</w:t>
            </w:r>
          </w:p>
        </w:tc>
      </w:tr>
    </w:tbl>
    <w:p>
      <w:pPr>
        <w:pStyle w:val="TextBody"/>
        <w:bidi w:val="0"/>
        <w:spacing w:before="0" w:after="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29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4835" w:type="dxa"/>
            <w:tcBorders/>
            <w:vAlign w:val="center"/>
          </w:tcPr>
          <w:p>
            <w:pPr>
              <w:pStyle w:val="TableContents"/>
              <w:bidi w:val="0"/>
              <w:spacing w:before="0" w:after="283"/>
              <w:jc w:val="both"/>
              <w:rPr>
                <w:b/>
              </w:rPr>
            </w:pPr>
            <w:r>
              <w:rPr>
                <w:b/>
              </w:rPr>
              <w:t>Collaboration Agreement with Israel Railways: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2016, the Company and Israel Railways entered into an agreement for cooperation between the parties, which was further amended on January 19, 2020, and on July 1, 2021 (“the Railway Agreement”). Under the Railway Agreement, the Company undertook to fulfill certain functions for the development, marketing, distribution and sale of the systems, and Israel Railways undertook to provide the Company with services and the means to perform tests and experiments, mainly in the form of logistics and manpower, and to provide the Company with information on certain data that will be provided at the discretion of Israel Railways.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to the Railway Agreement and upon the completion of the initial public offering on April 4, 2022 (the “IPO”) (see Note 9B(4)) the Company paid to Israeli Railways a consideration of 1.5% of the actual IPO proceeds, which was approximately $213 and its right for payment of royalties has expired, according to the Railway Agreement provisions.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Railway Agreement further provides that Israel Railways will be entitled to purchase the Company’s products and services at a price equal to half the lowest price charged by the Company for those products and services to an unrelated third party.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part of the Railway Agreement and in consideration for services provided to the Company by Israel Railways, the Company granted Israel Railways an option to purchase 24,431 of the Company’s ordinary shares at their par value (see also Note 9B(5)).</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Railway Agreement was terminated and canceled by the parties under the Railways Commercial Agreement signed on January 31, 2023 (see Note 7A(2) below).</w:t>
      </w:r>
    </w:p>
    <w:p>
      <w:pPr>
        <w:pStyle w:val="TextBody"/>
        <w:bidi w:val="0"/>
        <w:spacing w:before="0" w:after="0"/>
        <w:ind w:left="1440" w:right="0" w:hanging="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29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3530" w:type="dxa"/>
            <w:tcBorders/>
            <w:vAlign w:val="center"/>
          </w:tcPr>
          <w:p>
            <w:pPr>
              <w:pStyle w:val="TableContents"/>
              <w:bidi w:val="0"/>
              <w:spacing w:before="0" w:after="283"/>
              <w:jc w:val="both"/>
              <w:rPr>
                <w:b/>
              </w:rPr>
            </w:pPr>
            <w:r>
              <w:rPr>
                <w:b/>
              </w:rPr>
              <w:t>Railways Commercial Agreement: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2023, the Company signed an agreement with Israel Railways for the purchase by Israel Railways of ten Rail Vision Main Line Systems and related services for a total amount of approximately $1,400. As of December 31, 2023, the advanced payment received from Israel Railways was recorded as deferred revenues in other accounts payable in the amount of approximately $500.</w:t>
      </w:r>
    </w:p>
    <w:p>
      <w:pPr>
        <w:pStyle w:val="TextBody"/>
        <w:bidi w:val="0"/>
        <w:spacing w:before="0" w:after="0"/>
        <w:ind w:left="1440" w:right="0" w:hanging="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4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7760" w:type="dxa"/>
            <w:tcBorders/>
            <w:vAlign w:val="center"/>
          </w:tcPr>
          <w:p>
            <w:pPr>
              <w:pStyle w:val="TableContents"/>
              <w:bidi w:val="0"/>
              <w:spacing w:before="0" w:after="283"/>
              <w:jc w:val="both"/>
              <w:rPr>
                <w:b/>
              </w:rPr>
            </w:pPr>
            <w:r>
              <w:rPr>
                <w:b/>
              </w:rPr>
              <w:t>Memorandum of Understanding between the Company and Knorr-Bremse: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2020, a non-binding memorandum of understanding (the “Knorr-Bremse MOU”) was signed between the Company and Knorr-Bremse Systeme für Schienenfahrzeuge GmbH, an affiliate of Knorr-Bremse AG (“Knorr-Bremse”) regarding cooperation between the parties with respect to Light Rail Vehicle (“LRV”) systems.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signing of the Knorr-Bremse MOU, in December 2020, Knorr-Bremse placed a purchase order with the Company for developing two prototypes of the LRV system according to specifications required by Knorr Bremse (the “Knorr Bremse Purchase Order”). In return for the development of the two prototypes, Knorr Bremse paid the Company a total of approximately EUR 397 thousand (approximately $471).</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2021, the Company completed its commitment according to the Knorr Bremse Purchase Order for the supply of the two LRV prototype systems to Knorr-Bremse. Accordingly, the Company recognized revenues in 2021 from the sale of the two LRV prototype systems and the related services in a total amount of approximately $471.</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br/>
      </w: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p>
      <w:pPr>
        <w:pStyle w:val="TextBody"/>
        <w:bidi w:val="0"/>
        <w:spacing w:before="0" w:after="0"/>
        <w:ind w:left="6"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CONTINGENCIES LIABILITIES (Cont.)</w:t>
      </w:r>
    </w:p>
    <w:p>
      <w:pPr>
        <w:pStyle w:val="TextBody"/>
        <w:bidi w:val="0"/>
        <w:spacing w:before="0" w:after="0"/>
        <w:ind w:left="6" w:right="0" w:hanging="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26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8315" w:type="dxa"/>
            <w:tcBorders/>
            <w:vAlign w:val="center"/>
          </w:tcPr>
          <w:p>
            <w:pPr>
              <w:pStyle w:val="TableContents"/>
              <w:bidi w:val="0"/>
              <w:spacing w:before="0" w:after="283"/>
              <w:jc w:val="both"/>
              <w:rPr>
                <w:b/>
              </w:rPr>
            </w:pPr>
            <w:r>
              <w:rPr>
                <w:b/>
              </w:rPr>
              <w:t>Framework agreement with Knorr-Bremse Rail Systems Schweiz AG (“KBCH”):</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Company entered into a framework agreement (the “KBCH Framework Agreement”) with KBCH (a subsidiary of Knorr-Bremse operating in Switzerland) regarding the supply of a prototype of the Company’s shunting yard system to Schweizerische Bundes Bahnen Cargo (“SBBC”), a freight train company in Switzerland.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KBCH Framework Agreement, the Company provided KBCH with one prototype of the shunting yard system which has been installed on a shunting locomotive in the SBBC shunting yard, for the purpose of examining the operational performance of the shunting yard system (the “Operational Function Test”).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prototype provided for the Operational Function Test, KBCH paid the Company the amount of approximately EUR 244 thousand (approximately $292). In addition, in order to support the Operational Function Test procedure, the Company undertook to provide various professionals, as needed, in exchange for payment at the maximum rates and amounts determined in the KBCH Framework Agreement. Accordingly, during 2021, KBCH paid the Company an additional amount of approximately. EUR 110 thousand (approximately $125) for the Company’s services supporting the installation and operation of the system and its participation in part of the overall licensing process of the operating concept that were fully provided during the reporting period.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delivery of the prototype and the provision of the services described above were identified by the Company as a single performance obligation, during 2021, the Company recognized revenues from the sale of the prototype and the related services in the total amount of approximately $417.</w:t>
      </w:r>
    </w:p>
    <w:p>
      <w:pPr>
        <w:pStyle w:val="TextBody"/>
        <w:bidi w:val="0"/>
        <w:spacing w:before="0" w:after="0"/>
        <w:ind w:left="1080" w:right="0" w:hanging="0"/>
        <w:jc w:val="both"/>
        <w:rPr>
          <w:caps w:val="false"/>
          <w:smallCaps w:val="false"/>
        </w:rPr>
      </w:pPr>
      <w:r>
        <w:rPr>
          <w:caps w:val="false"/>
          <w:smallCaps w:val="false"/>
        </w:rPr>
        <w:t> </w:t>
      </w:r>
    </w:p>
    <w:tbl>
      <w:tblPr>
        <w:tblW w:w="7953" w:type="dxa"/>
        <w:jc w:val="left"/>
        <w:tblInd w:w="0" w:type="dxa"/>
        <w:tblLayout w:type="fixed"/>
        <w:tblCellMar>
          <w:top w:w="0" w:type="dxa"/>
          <w:left w:w="0" w:type="dxa"/>
          <w:bottom w:w="0" w:type="dxa"/>
          <w:right w:w="0" w:type="dxa"/>
        </w:tblCellMar>
      </w:tblPr>
      <w:tblGrid>
        <w:gridCol w:w="38"/>
        <w:gridCol w:w="26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7655" w:type="dxa"/>
            <w:tcBorders/>
            <w:vAlign w:val="center"/>
          </w:tcPr>
          <w:p>
            <w:pPr>
              <w:pStyle w:val="TableContents"/>
              <w:bidi w:val="0"/>
              <w:spacing w:before="0" w:after="283"/>
              <w:jc w:val="both"/>
              <w:rPr>
                <w:b/>
              </w:rPr>
            </w:pPr>
            <w:r>
              <w:rPr>
                <w:b/>
              </w:rPr>
              <w:t>Strategic partnership agreement between the Company and Knorr-Bremse</w:t>
            </w:r>
          </w:p>
        </w:tc>
      </w:tr>
    </w:tbl>
    <w:p>
      <w:pPr>
        <w:pStyle w:val="TextBody"/>
        <w:bidi w:val="0"/>
        <w:spacing w:before="0" w:after="0"/>
        <w:ind w:left="1494" w:right="0" w:hanging="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2021, the Company entered into a strategic partnership agreement which summarizes the understandings for strategic cooperation between the parties.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was approved by the Company’s Board of Directors on August 25, 2021 and by the Company’s General Meeting on August 26, 2021.</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E.</w:t>
            </w:r>
          </w:p>
        </w:tc>
        <w:tc>
          <w:tcPr>
            <w:tcW w:w="9922" w:type="dxa"/>
            <w:tcBorders/>
            <w:vAlign w:val="center"/>
          </w:tcPr>
          <w:p>
            <w:pPr>
              <w:pStyle w:val="TableContents"/>
              <w:bidi w:val="0"/>
              <w:spacing w:before="0" w:after="283"/>
              <w:jc w:val="both"/>
              <w:rPr>
                <w:b/>
              </w:rPr>
            </w:pPr>
            <w:r>
              <w:rPr>
                <w:b/>
              </w:rPr>
              <w:t>Agreement for supplying equipment and services with Hitachi Rail STS Australian Pty Ltd. (“STS”)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the Company entered into an agreement to supply equipment, personnel and services with STS, which enables STS, as the main supplier, to supply to an Australian railway company Rio Tinto Railway Network, a prototype of the Company’s Main Line system, for demonstrations and examining the operational activity of the Main Line system (the “Long-Term Pilot”).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completed the Long-Term Pilot and accordingly recognized revenues in the year ended December 31, 2022 from the Long Term Pilot in the total amount of EUR 192 thousands (approximately $202).</w:t>
      </w:r>
    </w:p>
    <w:p>
      <w:pPr>
        <w:pStyle w:val="TextBody"/>
        <w:bidi w:val="0"/>
        <w:spacing w:before="0" w:after="0"/>
        <w:ind w:left="108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3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F.</w:t>
            </w:r>
          </w:p>
        </w:tc>
        <w:tc>
          <w:tcPr>
            <w:tcW w:w="3470" w:type="dxa"/>
            <w:tcBorders/>
            <w:vAlign w:val="center"/>
          </w:tcPr>
          <w:p>
            <w:pPr>
              <w:pStyle w:val="TableContents"/>
              <w:bidi w:val="0"/>
              <w:spacing w:before="0" w:after="283"/>
              <w:jc w:val="both"/>
              <w:rPr>
                <w:b/>
              </w:rPr>
            </w:pPr>
            <w:r>
              <w:rPr>
                <w:b/>
              </w:rPr>
              <w:t>Proof of Concept Purchase Order</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2021 the Company received a purchase order (“PO”) from a customer in the United States (the “U.S. Customer”) for a Proof of Concept (“POC”) regarding to a detection system which will focus on railway infrastructure inspection and is based on the Company’s sensors and algorithmic capabilities, utilizing cloud computing to handle data collections and measurements.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Company completed the POC and accordingly recognized revenues in the year ended December 31, 2022 from the POC in the total amount of approximately $219.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br/>
      </w: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p>
      <w:pPr>
        <w:pStyle w:val="TextBody"/>
        <w:bidi w:val="0"/>
        <w:spacing w:before="0" w:after="0"/>
        <w:ind w:left="6"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COMMITMENTS AND CONTINGENCIES LIABILITIES (Cont.)</w:t>
      </w:r>
    </w:p>
    <w:p>
      <w:pPr>
        <w:pStyle w:val="TextBody"/>
        <w:bidi w:val="0"/>
        <w:spacing w:before="0" w:after="0"/>
        <w:ind w:left="108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6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G.</w:t>
            </w:r>
          </w:p>
        </w:tc>
        <w:tc>
          <w:tcPr>
            <w:tcW w:w="7865" w:type="dxa"/>
            <w:tcBorders/>
            <w:vAlign w:val="center"/>
          </w:tcPr>
          <w:p>
            <w:pPr>
              <w:pStyle w:val="TableContents"/>
              <w:bidi w:val="0"/>
              <w:spacing w:before="0" w:after="283"/>
              <w:jc w:val="both"/>
              <w:rPr>
                <w:b/>
              </w:rPr>
            </w:pPr>
            <w:r>
              <w:rPr>
                <w:b/>
              </w:rPr>
              <w:t>Six-Month Trial with Leading US-based Rail and Leasing Services Company</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16, 2023, a leading US-based rail and leasing services company purchased a Switch Yard System for $140 with support, to evaluate its performance during a six-month trial. The six-month trial was completed in September 2023, and accordingly recognized revenues in the year ended December 31, 2023 from the sale of the system and the trial, in the total amount of approximately $142. Regarding a supply contract signed on January 17, 2024 with this customer for the purchase of the Company’s AI-based Switch Yard Systems, see Note 15B below.</w:t>
      </w:r>
    </w:p>
    <w:p>
      <w:pPr>
        <w:pStyle w:val="TextBody"/>
        <w:bidi w:val="0"/>
        <w:spacing w:before="0" w:after="0"/>
        <w:ind w:left="1494" w:right="0" w:hanging="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6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H.</w:t>
            </w:r>
          </w:p>
        </w:tc>
        <w:tc>
          <w:tcPr>
            <w:tcW w:w="6710" w:type="dxa"/>
            <w:tcBorders/>
            <w:vAlign w:val="center"/>
          </w:tcPr>
          <w:p>
            <w:pPr>
              <w:pStyle w:val="TableContents"/>
              <w:bidi w:val="0"/>
              <w:spacing w:before="0" w:after="283"/>
              <w:jc w:val="both"/>
              <w:rPr>
                <w:b/>
              </w:rPr>
            </w:pPr>
            <w:r>
              <w:rPr>
                <w:b/>
              </w:rPr>
              <w:t>Purchase Order from a Leading Latin America Mining Company</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2023, the Company received a purchase order in the amount of $492 for a single Main Line system and related services from a leading Latin American (“LATAM”) mining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11, 2023, the Company completed the delivery of the Main Line system to the LATAM mining company but hadn’t fully transferred the control on the system to the customer. In addition to the delivery of the system, the Company is providing supervision, guidance, and training services as part of the $492 purchase order.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payment received from the LATAM mining company in the amount of $492, was recorded as deferred revenues in other accounts payable. In addition, the Company recorded an amount of approximately $87 as deferred cost of revenues and an amount of approximately $39 as deferred expenses.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6"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CONVERTIBLE PREFERRED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Preferred A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2020, the Company and Knorr-Bremse entered into an investment agreement under which the Company issued 51,282 Preferred A shares to Knorr-Bremse, in exchange for a total investment of $10,000. As of December 31, 2021, the net proceeds, after deducting closing costs and fees, amounted to $9,965.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was given, under the investment agreement, an option to demand Knorr-Bremse to invest an additional amount of $5,000 at the same price per share (the “Call Option”), provided the existence of circumstances as detailed in the investment agreement. The Call Option was accounted as a derivative and valued at zero. On December 2, 2021, and February 14, 2022 the Company and Knorr-Bremse signed two amendments to the investment agreement, according to which, the Company will be entitled to exercise its option in 2 installments as follows: (i) up to $2,000 will be exercisable through March 31, 2022; and (ii) up to $2,286 will be exercisable through June 30, 2022. The aforesaid option shall expire on the closing of the Company’s IPO if such shall occur prior to June 30, 2022. On March 6, 2022, the Company exercised its first installment of $2,000 and as a result issued to Knorr-Bremse, a total of 10,256 Preferred A shares at a price of $195 per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A shares were entitled to all the rights of the Company’s ordinary shares and additional rights regarding liquidation preference and listing rights. Holders of Preferred A shares were entitled, at their option, to convert the Preferred A shares at any time into the Company’s ordinary shares in a 1:44 ratio. In addition, prior to the Company’s IPO, all Preferred A shares were converted into the Company’s ordinary shares in a 1:44 ratio, and, accordingly, all rights stated are revoked upon their conversion into the Company’s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completion of the IPO on April 4, 2022 (see Note 9B(4)), 61,538 Preferred A shares were automatically converted into 338,459 ordinary shares (after giving effect to the issuance of 10,256 Preferred A shares described above).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Rail Vision Ltd. </w:t>
      </w:r>
    </w:p>
    <w:p>
      <w:pPr>
        <w:pStyle w:val="TextBody"/>
        <w:pBdr>
          <w:bottom w:val="single" w:sz="12"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Notes to Financial Statements</w:t>
        <w:br/>
      </w: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SHAREHOLDERS’ EQUITY</w:t>
      </w:r>
    </w:p>
    <w:p>
      <w:pPr>
        <w:pStyle w:val="TextBody"/>
        <w:bidi w:val="0"/>
        <w:spacing w:before="0" w:after="0"/>
        <w:ind w:left="1134" w:right="0" w:hanging="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26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4505" w:type="dxa"/>
            <w:tcBorders/>
            <w:vAlign w:val="center"/>
          </w:tcPr>
          <w:p>
            <w:pPr>
              <w:pStyle w:val="TableContents"/>
              <w:bidi w:val="0"/>
              <w:spacing w:before="0" w:after="283"/>
              <w:jc w:val="both"/>
              <w:rPr>
                <w:b/>
              </w:rPr>
            </w:pPr>
            <w:r>
              <w:rPr>
                <w:b/>
              </w:rPr>
              <w:t>The rights of ordinary shares are as follows: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confer upon the holders the right to receive notice to participate and vote in general meetings of shareholders of the Company, the right to receive dividends, if declared, and the right to participate in a distribution of the surplus of assets upon liquidation of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Issuance of bonus shares and Reverse Split see Note 1B above.</w:t>
      </w:r>
    </w:p>
    <w:p>
      <w:pPr>
        <w:pStyle w:val="TextBody"/>
        <w:bidi w:val="0"/>
        <w:spacing w:before="0" w:after="0"/>
        <w:ind w:left="108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245"/>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4340" w:type="dxa"/>
            <w:tcBorders/>
            <w:vAlign w:val="center"/>
          </w:tcPr>
          <w:p>
            <w:pPr>
              <w:pStyle w:val="TableContents"/>
              <w:bidi w:val="0"/>
              <w:spacing w:before="0" w:after="283"/>
              <w:jc w:val="both"/>
              <w:rPr>
                <w:b/>
              </w:rPr>
            </w:pPr>
            <w:r>
              <w:rPr>
                <w:b/>
              </w:rPr>
              <w:t>Issuance of ordinary shares and warrants:</w:t>
            </w:r>
          </w:p>
        </w:tc>
      </w:tr>
    </w:tbl>
    <w:p>
      <w:pPr>
        <w:pStyle w:val="TextBody"/>
        <w:bidi w:val="0"/>
        <w:spacing w:before="0" w:after="0"/>
        <w:ind w:left="168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283"/>
              <w:jc w:val="both"/>
              <w:rPr/>
            </w:pPr>
            <w:r>
              <w:rPr/>
              <w:t>During April – June 2021, an aggregate of options to purchase 2,591 ordinary shares were exercised by former Company employees resulting in proceeds of $127.</w:t>
            </w:r>
          </w:p>
        </w:tc>
      </w:tr>
    </w:tbl>
    <w:p>
      <w:pPr>
        <w:pStyle w:val="TextBody"/>
        <w:bidi w:val="0"/>
        <w:spacing w:before="0" w:after="0"/>
        <w:ind w:left="226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(2)</w:t>
            </w:r>
          </w:p>
        </w:tc>
        <w:tc>
          <w:tcPr>
            <w:tcW w:w="9897" w:type="dxa"/>
            <w:tcBorders/>
            <w:vAlign w:val="center"/>
          </w:tcPr>
          <w:p>
            <w:pPr>
              <w:pStyle w:val="TableContents"/>
              <w:bidi w:val="0"/>
              <w:spacing w:before="0" w:after="283"/>
              <w:jc w:val="both"/>
              <w:rPr/>
            </w:pPr>
            <w:r>
              <w:rPr/>
              <w:t>During March 2022, options to purchase 209 ordinary shares were exercised by former Company employees resulting in proceeds of $10.</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283"/>
              <w:jc w:val="both"/>
              <w:rPr/>
            </w:pPr>
            <w:r>
              <w:rPr/>
              <w:t>In January 2022, the Company entered into a Simple Agreement for Future Equity (“SAFE”) with its two main shareholders providing for financing in the aggregate amount of $1,000 (the “Investment Amount”), which was subsequently amended in March 2022.</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provides for the conversion of the Investment Amount into the Company’s ordinary shares under certain circumstances including in particular in the case of an initial public offering such that immediately prior to the closing of an initial public offering the Investment Amount shall automatically convert into the number of shares and warrants equal to the Investment Amount divided by the initial public offering price. The warrants which shall be issued shall have the same terms as the warrants to be issued in the initial public offering except such warrants shall not be registered under the Securities Act of 1933, as amended, and shall not be tradeable.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completion of the IPO on April 4, 2022 (see Note 9B(4) below) the Investment Amount was automatically converted to 30,266 ordinary shares and 30,266 warrants to purchase ordinary shares, with an exercise price of $33.44 per share, immediately exercisable and will expire five years from the date of issuance. These warrants are being accounted for as equity instruments in accordance with the guidance contained in ASC 815-40.</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(4)</w:t>
            </w:r>
          </w:p>
        </w:tc>
        <w:tc>
          <w:tcPr>
            <w:tcW w:w="9936" w:type="dxa"/>
            <w:tcBorders/>
            <w:vAlign w:val="center"/>
          </w:tcPr>
          <w:p>
            <w:pPr>
              <w:pStyle w:val="TableContents"/>
              <w:bidi w:val="0"/>
              <w:spacing w:before="0" w:after="283"/>
              <w:jc w:val="both"/>
              <w:rPr/>
            </w:pPr>
            <w:r>
              <w:rPr/>
              <w:t>On April 4, 2022, the Company completed its IPO, in which the Company issued 473,405 units. Each unit included one ordinary share and one warrant to purchase one ordinary share at an exercise price of $33.44 per ordinary share. The warrants are exercisable at any time up to five years after the IPO. These warrants are being accounted for as equity instruments in accordance with the guidance contained in ASC 815-40.</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for the offering were approximately $15,647 (including exercise of over-allotment options as described below) and net proceeds of approximately $13,587 after deducting underwriting discounts and commissions and offering expenses.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Aegis Capital Corp, the underwriter (“Aegis”), a 45-day over-allotment option to purchase additional ordinary shares and/or warrants to purchase additional ordinary shares up to 15% of the number of ordinary shares and warrants, respectively, sold in the IPO solely to cover over-allotments, if any. On April 4, 2022, Aegis exercised its over-allotment option with respect to 71,011 warrants to purchase ordinary shares.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(5)</w:t>
            </w:r>
          </w:p>
        </w:tc>
        <w:tc>
          <w:tcPr>
            <w:tcW w:w="9937" w:type="dxa"/>
            <w:tcBorders/>
            <w:vAlign w:val="center"/>
          </w:tcPr>
          <w:p>
            <w:pPr>
              <w:pStyle w:val="TableContents"/>
              <w:bidi w:val="0"/>
              <w:spacing w:before="0" w:after="283"/>
              <w:jc w:val="both"/>
              <w:rPr/>
            </w:pPr>
            <w:r>
              <w:rPr/>
              <w:t>According to an amended and restated cooperation agreement, dated January 19, 2020, with Israel Railways, the Company granted Israel Railways warrants to purchase 24,431 of its ordinary shares with a nominal exercise price of NIS 0.01 (approximately $0.003) per share. On January 25, 2023, Israel Railways notified the Company of its exercise of the warrants in full, and accordingly the Company issued 24,431 ordinary shares to Israel Railways.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left"/>
              <w:rPr>
                <w:b/>
              </w:rPr>
            </w:pPr>
            <w:r>
              <w:rPr>
                <w:b/>
              </w:rPr>
              <w:t xml:space="preserve">Rail Vision Ltd. </w:t>
            </w:r>
          </w:p>
        </w:tc>
      </w:tr>
      <w:tr>
        <w:trPr/>
        <w:tc>
          <w:tcPr>
            <w:tcW w:w="5630" w:type="dxa"/>
            <w:tcBorders/>
            <w:vAlign w:val="center"/>
          </w:tcPr>
          <w:p>
            <w:pPr>
              <w:pStyle w:val="TableContents"/>
              <w:bidi w:val="0"/>
              <w:spacing w:before="0" w:after="283"/>
              <w:jc w:val="left"/>
              <w:rPr>
                <w:b/>
              </w:rPr>
            </w:pPr>
            <w:r>
              <w:rPr>
                <w:b/>
              </w:rPr>
              <w:t>Notes to Financial Statements</w:t>
            </w:r>
          </w:p>
        </w:tc>
      </w:tr>
      <w:tr>
        <w:trPr/>
        <w:tc>
          <w:tcPr>
            <w:tcW w:w="5630" w:type="dxa"/>
            <w:tcBorders>
              <w:bottom w:val="single" w:sz="12" w:space="0" w:color="000000"/>
            </w:tcBorders>
            <w:tcMar>
              <w:bottom w:w="28" w:type="dxa"/>
            </w:tcMar>
            <w:vAlign w:val="center"/>
          </w:tcPr>
          <w:p>
            <w:pPr>
              <w:pStyle w:val="TableContents"/>
              <w:bidi w:val="0"/>
              <w:spacing w:before="0" w:after="283"/>
              <w:jc w:val="left"/>
              <w:rPr/>
            </w:pPr>
            <w:r>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SHAREHOLDERS’ EQUITY (Cont.)</w:t>
      </w:r>
    </w:p>
    <w:p>
      <w:pPr>
        <w:pStyle w:val="TextBody"/>
        <w:bidi w:val="0"/>
        <w:spacing w:before="0" w:after="0"/>
        <w:ind w:left="0" w:right="0" w:hanging="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245"/>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5165" w:type="dxa"/>
            <w:tcBorders/>
            <w:vAlign w:val="center"/>
          </w:tcPr>
          <w:p>
            <w:pPr>
              <w:pStyle w:val="TableContents"/>
              <w:bidi w:val="0"/>
              <w:spacing w:before="0" w:after="283"/>
              <w:jc w:val="both"/>
              <w:rPr/>
            </w:pPr>
            <w:r>
              <w:rPr>
                <w:b/>
              </w:rPr>
              <w:t>Issuance of Ordinary shares and warrants (Cont</w:t>
            </w:r>
            <w:r>
              <w:rPr/>
              <w:t>.):</w:t>
            </w:r>
          </w:p>
        </w:tc>
      </w:tr>
    </w:tbl>
    <w:p>
      <w:pPr>
        <w:pStyle w:val="TextBody"/>
        <w:bidi w:val="0"/>
        <w:spacing w:before="0" w:after="0"/>
        <w:ind w:left="226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(6)</w:t>
            </w:r>
          </w:p>
        </w:tc>
        <w:tc>
          <w:tcPr>
            <w:tcW w:w="9909" w:type="dxa"/>
            <w:tcBorders/>
            <w:vAlign w:val="center"/>
          </w:tcPr>
          <w:p>
            <w:pPr>
              <w:pStyle w:val="TableContents"/>
              <w:bidi w:val="0"/>
              <w:spacing w:before="0" w:after="283"/>
              <w:jc w:val="both"/>
              <w:rPr/>
            </w:pPr>
            <w:r>
              <w:rPr/>
              <w:t>In May 2023, the Company executed a series of transactions raising aggregate gross proceeds of $6,000 (approximately $5,397after deducting issuance costs), as follows:</w:t>
            </w:r>
          </w:p>
        </w:tc>
      </w:tr>
    </w:tbl>
    <w:p>
      <w:pPr>
        <w:pStyle w:val="TextBody"/>
        <w:bidi w:val="0"/>
        <w:spacing w:before="0" w:after="0"/>
        <w:ind w:left="226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the Company completed the closing of definitive agreements with investors (i) in a registered direct offering, for the purchase and sale of 493,421 ordinary shares and (ii) in a concurrent private placement to the same investors, for the issuance of 493,424 warrants, each to purchase one ordinary share at an exercise price of $6.72 per share. The private placement warrants are exercisable upon issuance and have a 5-year term from the initial exercise date. These warrants are being accounted for as equity instruments in accordance with the guidance contained in ASC 815-40. The aggregate gross proceeds to the Company of the registered direct offering and concurrent private placement were approximately $3,000.</w:t>
      </w:r>
    </w:p>
    <w:p>
      <w:pPr>
        <w:pStyle w:val="TextBody"/>
        <w:bidi w:val="0"/>
        <w:spacing w:before="0" w:after="0"/>
        <w:ind w:left="226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cash-less exercise of warrants subsequent to December 31, 2023, see Note 15 below.</w:t>
      </w:r>
    </w:p>
    <w:p>
      <w:pPr>
        <w:pStyle w:val="TextBody"/>
        <w:bidi w:val="0"/>
        <w:spacing w:before="0" w:after="0"/>
        <w:ind w:left="226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concurrent private placement, the Company agreed to issue an aggregate of 493,421 ordinary shares and 493,421 five-year warrants exercisable at $6.72 per share to Knorr-Bremse. The Knorr-Bremse private placement was subject to the approval by the Company’s shareholders, and the shareholders approved the transaction on June 18, 2023. The aggregate gross proceeds from this placement were approximately $3,000.</w:t>
      </w:r>
    </w:p>
    <w:p>
      <w:pPr>
        <w:pStyle w:val="TextBody"/>
        <w:bidi w:val="0"/>
        <w:spacing w:before="0" w:after="0"/>
        <w:ind w:left="226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transactions, the purchase price of one unit was $6.08. Each unit included one ordinary share and one 5-year warrant to purchase one ordinary share.</w:t>
      </w:r>
    </w:p>
    <w:p>
      <w:pPr>
        <w:pStyle w:val="TextBody"/>
        <w:bidi w:val="0"/>
        <w:spacing w:before="0" w:after="0"/>
        <w:ind w:left="2268" w:right="0" w:hanging="567"/>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26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2315" w:type="dxa"/>
            <w:tcBorders/>
            <w:vAlign w:val="center"/>
          </w:tcPr>
          <w:p>
            <w:pPr>
              <w:pStyle w:val="TableContents"/>
              <w:bidi w:val="0"/>
              <w:spacing w:before="0" w:after="283"/>
              <w:jc w:val="both"/>
              <w:rPr>
                <w:b/>
              </w:rPr>
            </w:pPr>
            <w:r>
              <w:rPr>
                <w:b/>
              </w:rPr>
              <w:t>Equity Incentive Plan:</w:t>
            </w:r>
          </w:p>
        </w:tc>
      </w:tr>
    </w:tbl>
    <w:p>
      <w:pPr>
        <w:pStyle w:val="TextBody"/>
        <w:bidi w:val="0"/>
        <w:spacing w:before="0" w:after="0"/>
        <w:ind w:left="1701"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2017, the Board authorized an incentive share option plan which was amended on March 21, 2022, and on September 13,2022 (“2017 Plan”). The 2017 Plan provides for the grant of incentive share options to employees and service providers of the Company. Awards may be granted under the 2017 Plan until January 31, 2027.</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2017 Plan, the aggregate number of ordinary shares that may be issued pursuant to awards will not exceed 291,544 ordinary shares.</w:t>
      </w:r>
    </w:p>
    <w:p>
      <w:pPr>
        <w:pStyle w:val="TextBody"/>
        <w:bidi w:val="0"/>
        <w:spacing w:before="0" w:after="0"/>
        <w:ind w:left="1701" w:right="0" w:hanging="567"/>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26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4085" w:type="dxa"/>
            <w:tcBorders/>
            <w:vAlign w:val="center"/>
          </w:tcPr>
          <w:p>
            <w:pPr>
              <w:pStyle w:val="TableContents"/>
              <w:bidi w:val="0"/>
              <w:spacing w:before="0" w:after="283"/>
              <w:jc w:val="both"/>
              <w:rPr>
                <w:b/>
              </w:rPr>
            </w:pPr>
            <w:r>
              <w:rPr>
                <w:b/>
              </w:rPr>
              <w:t>Shares and options to service providers:</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for the options to service providers was estimated on their grant date determined using a Black-Scholes option pricing model, with the following weighted-average assumptions: weighted average volatility of 70%, risk free interest rates of 1.4%, dividend yields of 0% and a weighted average life of the options of up to 5 years.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both"/>
              <w:rPr/>
            </w:pPr>
            <w:r>
              <w:rPr/>
              <w:t>On December 20, 2021, the Company granted options to a consultant for the purchase of 3,135 of the Company’s ordinary shares at an exercise price of $49.12 per share. The Consultant will be eligible to exercise the options upon completion of milestones, as defined in the consultant agreement, for a period of 24 months from the date of their grant.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both"/>
              <w:rPr/>
            </w:pPr>
            <w:r>
              <w:rPr/>
              <w:t>On January 1, 2023 the Company granted to a service provider 3 years term warrants, to purchase a total of 6,252 ordinary shares. 1,563 warrants at an exercise price of $12.00, 1,563 warrants at an exercise price of $14.00, 1,563 warrants at an exercise price of $20.00, and 1,563 warrants at an exercise price of $24.00.</w:t>
            </w:r>
          </w:p>
        </w:tc>
      </w:tr>
    </w:tbl>
    <w:p>
      <w:pPr>
        <w:pStyle w:val="TextBody"/>
        <w:bidi w:val="0"/>
        <w:spacing w:before="0" w:after="0"/>
        <w:ind w:left="2268" w:right="0" w:hanging="0"/>
        <w:jc w:val="both"/>
        <w:rPr>
          <w:caps w:val="false"/>
          <w:smallCaps w:val="false"/>
        </w:rPr>
      </w:pPr>
      <w:r>
        <w:rPr>
          <w:caps w:val="false"/>
          <w:smallCaps w:val="false"/>
        </w:rPr>
        <w:t> </w:t>
      </w:r>
    </w:p>
    <w:p>
      <w:pPr>
        <w:pStyle w:val="TextBody"/>
        <w:bidi w:val="0"/>
        <w:spacing w:before="0" w:after="0"/>
        <w:ind w:left="2268"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2268"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left"/>
              <w:rPr>
                <w:b/>
              </w:rPr>
            </w:pPr>
            <w:r>
              <w:rPr>
                <w:b/>
              </w:rPr>
              <w:t xml:space="preserve">Rail Vision Ltd. </w:t>
            </w:r>
          </w:p>
        </w:tc>
      </w:tr>
      <w:tr>
        <w:trPr/>
        <w:tc>
          <w:tcPr>
            <w:tcW w:w="5630" w:type="dxa"/>
            <w:tcBorders/>
            <w:vAlign w:val="center"/>
          </w:tcPr>
          <w:p>
            <w:pPr>
              <w:pStyle w:val="TableContents"/>
              <w:bidi w:val="0"/>
              <w:spacing w:before="0" w:after="283"/>
              <w:jc w:val="left"/>
              <w:rPr>
                <w:b/>
              </w:rPr>
            </w:pPr>
            <w:r>
              <w:rPr>
                <w:b/>
              </w:rPr>
              <w:t>Notes to Financial Statements</w:t>
            </w:r>
          </w:p>
        </w:tc>
      </w:tr>
      <w:tr>
        <w:trPr/>
        <w:tc>
          <w:tcPr>
            <w:tcW w:w="5630" w:type="dxa"/>
            <w:tcBorders>
              <w:bottom w:val="single" w:sz="12" w:space="0" w:color="000000"/>
            </w:tcBorders>
            <w:tcMar>
              <w:bottom w:w="28" w:type="dxa"/>
            </w:tcMar>
            <w:vAlign w:val="center"/>
          </w:tcPr>
          <w:p>
            <w:pPr>
              <w:pStyle w:val="TableContents"/>
              <w:bidi w:val="0"/>
              <w:spacing w:before="0" w:after="283"/>
              <w:jc w:val="left"/>
              <w:rPr/>
            </w:pPr>
            <w:r>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SHAREHOLDERS’ EQUITY (Cont.)</w:t>
      </w:r>
    </w:p>
    <w:p>
      <w:pPr>
        <w:pStyle w:val="TextBody"/>
        <w:bidi w:val="0"/>
        <w:spacing w:before="0" w:after="0"/>
        <w:ind w:left="0" w:right="0" w:hanging="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245"/>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E.</w:t>
            </w:r>
          </w:p>
        </w:tc>
        <w:tc>
          <w:tcPr>
            <w:tcW w:w="2180" w:type="dxa"/>
            <w:tcBorders/>
            <w:vAlign w:val="center"/>
          </w:tcPr>
          <w:p>
            <w:pPr>
              <w:pStyle w:val="TableContents"/>
              <w:bidi w:val="0"/>
              <w:spacing w:before="0" w:after="283"/>
              <w:jc w:val="both"/>
              <w:rPr>
                <w:b/>
              </w:rPr>
            </w:pPr>
            <w:r>
              <w:rPr>
                <w:b/>
              </w:rPr>
              <w:t>Options to employees</w:t>
            </w:r>
          </w:p>
        </w:tc>
      </w:tr>
    </w:tbl>
    <w:p>
      <w:pPr>
        <w:pStyle w:val="TextBody"/>
        <w:bidi w:val="0"/>
        <w:spacing w:before="0" w:after="0"/>
        <w:ind w:left="149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both"/>
              <w:rPr/>
            </w:pPr>
            <w:r>
              <w:rPr/>
              <w:t>The fair value of options was estimated using the Black-Scholes option pricing model, which was based on the following assumptions: share price $2.4 - $8.8 weighted average volatility of 65% - 68%, risk free interest rates of 1.83%-3.66%, dividend yields of 0% and expected life of the options of up to 6 years.</w:t>
            </w:r>
          </w:p>
        </w:tc>
      </w:tr>
    </w:tbl>
    <w:p>
      <w:pPr>
        <w:pStyle w:val="TextBody"/>
        <w:bidi w:val="0"/>
        <w:spacing w:before="0" w:after="0"/>
        <w:ind w:left="1701" w:right="0" w:hanging="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9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9365" w:type="dxa"/>
            <w:tcBorders/>
            <w:vAlign w:val="center"/>
          </w:tcPr>
          <w:p>
            <w:pPr>
              <w:pStyle w:val="TableContents"/>
              <w:bidi w:val="0"/>
              <w:spacing w:before="0" w:after="283"/>
              <w:jc w:val="both"/>
              <w:rPr/>
            </w:pPr>
            <w:r>
              <w:rPr/>
              <w:t>The following table summarizes the option activity for options to employees, officers and directors:</w:t>
            </w:r>
          </w:p>
        </w:tc>
      </w:tr>
    </w:tbl>
    <w:p>
      <w:pPr>
        <w:pStyle w:val="TextBody"/>
        <w:bidi w:val="0"/>
        <w:spacing w:before="0" w:after="283"/>
        <w:jc w:val="left"/>
        <w:rPr/>
      </w:pPr>
      <w:r>
        <w:rPr/>
        <w:t> </w:t>
      </w:r>
    </w:p>
    <w:tbl>
      <w:tblPr>
        <w:tblW w:w="11480" w:type="dxa"/>
        <w:jc w:val="left"/>
        <w:tblInd w:w="0" w:type="dxa"/>
        <w:tblLayout w:type="fixed"/>
        <w:tblCellMar>
          <w:top w:w="0" w:type="dxa"/>
          <w:left w:w="0" w:type="dxa"/>
          <w:bottom w:w="0" w:type="dxa"/>
          <w:right w:w="0" w:type="dxa"/>
        </w:tblCellMar>
      </w:tblPr>
      <w:tblGrid>
        <w:gridCol w:w="1190"/>
        <w:gridCol w:w="60"/>
        <w:gridCol w:w="60"/>
        <w:gridCol w:w="800"/>
        <w:gridCol w:w="95"/>
        <w:gridCol w:w="60"/>
        <w:gridCol w:w="96"/>
        <w:gridCol w:w="899"/>
        <w:gridCol w:w="60"/>
        <w:gridCol w:w="60"/>
        <w:gridCol w:w="141"/>
        <w:gridCol w:w="1034"/>
        <w:gridCol w:w="60"/>
        <w:gridCol w:w="60"/>
        <w:gridCol w:w="60"/>
        <w:gridCol w:w="800"/>
        <w:gridCol w:w="95"/>
        <w:gridCol w:w="60"/>
        <w:gridCol w:w="96"/>
        <w:gridCol w:w="899"/>
        <w:gridCol w:w="60"/>
        <w:gridCol w:w="60"/>
        <w:gridCol w:w="185"/>
        <w:gridCol w:w="990"/>
        <w:gridCol w:w="60"/>
        <w:gridCol w:w="60"/>
        <w:gridCol w:w="60"/>
        <w:gridCol w:w="800"/>
        <w:gridCol w:w="95"/>
        <w:gridCol w:w="60"/>
        <w:gridCol w:w="96"/>
        <w:gridCol w:w="899"/>
        <w:gridCol w:w="60"/>
        <w:gridCol w:w="60"/>
        <w:gridCol w:w="185"/>
        <w:gridCol w:w="990"/>
        <w:gridCol w:w="75"/>
      </w:tblGrid>
      <w:tr>
        <w:trPr/>
        <w:tc>
          <w:tcPr>
            <w:tcW w:w="119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0155"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ind w:left="0" w:right="0" w:hanging="180"/>
              <w:jc w:val="center"/>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0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0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0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ind w:left="0" w:right="0" w:hanging="180"/>
              <w:jc w:val="center"/>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 options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life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 options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life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 of options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life</w:t>
            </w:r>
          </w:p>
        </w:tc>
        <w:tc>
          <w:tcPr>
            <w:tcW w:w="75" w:type="dxa"/>
            <w:tcBorders/>
            <w:vAlign w:val="center"/>
          </w:tcPr>
          <w:p>
            <w:pPr>
              <w:pStyle w:val="TableContents"/>
              <w:bidi w:val="0"/>
              <w:spacing w:before="0" w:after="283"/>
              <w:ind w:left="0" w:right="0" w:hanging="180"/>
              <w:jc w:val="center"/>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190" w:type="dxa"/>
            <w:tcBorders/>
            <w:shd w:fill="CCEEFF" w:val="clear"/>
            <w:vAlign w:val="center"/>
          </w:tcPr>
          <w:p>
            <w:pPr>
              <w:pStyle w:val="TableContents"/>
              <w:bidi w:val="0"/>
              <w:spacing w:before="0" w:after="283"/>
              <w:jc w:val="left"/>
              <w:rPr/>
            </w:pPr>
            <w:r>
              <w:rPr/>
              <w:t>Outstanding as of 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237,612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158,109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49.12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204,974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49.12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90"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68,739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9.75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132,361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19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49.12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49.12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0"/>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90" w:type="dxa"/>
            <w:tcBorders/>
            <w:vAlign w:val="center"/>
          </w:tcPr>
          <w:p>
            <w:pPr>
              <w:pStyle w:val="TableContents"/>
              <w:bidi w:val="0"/>
              <w:spacing w:before="0" w:after="283"/>
              <w:jc w:val="left"/>
              <w:rPr/>
            </w:pPr>
            <w:r>
              <w:rPr/>
              <w:t>Forfeited or expired</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(9,642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 w:type="dxa"/>
            <w:tcBorders>
              <w:bottom w:val="single" w:sz="12" w:space="0" w:color="000000"/>
            </w:tcBorders>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tcMar>
              <w:bottom w:w="28" w:type="dxa"/>
            </w:tcMar>
            <w:vAlign w:val="center"/>
          </w:tcPr>
          <w:p>
            <w:pPr>
              <w:pStyle w:val="TableContents"/>
              <w:bidi w:val="0"/>
              <w:spacing w:before="0" w:after="283"/>
              <w:jc w:val="right"/>
              <w:rPr/>
            </w:pPr>
            <w:r>
              <w:rPr/>
              <w:t>14.8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(52,649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 w:type="dxa"/>
            <w:tcBorders>
              <w:bottom w:val="single" w:sz="12" w:space="0" w:color="000000"/>
            </w:tcBorders>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tcMar>
              <w:bottom w:w="28" w:type="dxa"/>
            </w:tcMar>
            <w:vAlign w:val="center"/>
          </w:tcPr>
          <w:p>
            <w:pPr>
              <w:pStyle w:val="TableContents"/>
              <w:bidi w:val="0"/>
              <w:spacing w:before="0" w:after="283"/>
              <w:jc w:val="right"/>
              <w:rPr/>
            </w:pPr>
            <w:r>
              <w:rPr/>
              <w:t>49.12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(44,275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 w:type="dxa"/>
            <w:tcBorders>
              <w:bottom w:val="single" w:sz="12" w:space="0" w:color="000000"/>
            </w:tcBorders>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tcMar>
              <w:bottom w:w="28" w:type="dxa"/>
            </w:tcMar>
            <w:vAlign w:val="center"/>
          </w:tcPr>
          <w:p>
            <w:pPr>
              <w:pStyle w:val="TableContents"/>
              <w:bidi w:val="0"/>
              <w:spacing w:before="0" w:after="283"/>
              <w:jc w:val="right"/>
              <w:rPr/>
            </w:pPr>
            <w:r>
              <w:rPr/>
              <w:t>49.12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tcMar>
              <w:bottom w:w="28" w:type="dxa"/>
            </w:tcMar>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90" w:type="dxa"/>
            <w:tcBorders/>
            <w:vAlign w:val="center"/>
          </w:tcPr>
          <w:p>
            <w:pPr>
              <w:pStyle w:val="TableContents"/>
              <w:bidi w:val="0"/>
              <w:spacing w:before="0" w:after="283"/>
              <w:jc w:val="left"/>
              <w:rPr/>
            </w:pPr>
            <w:r>
              <w:rPr/>
              <w:t>Outstanding as of end of period</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296,709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bottom w:val="double" w:sz="10" w:space="0" w:color="000000"/>
            </w:tcBorders>
            <w:tcMar>
              <w:bottom w:w="28" w:type="dxa"/>
            </w:tcMar>
            <w:vAlign w:val="center"/>
          </w:tcPr>
          <w:p>
            <w:pPr>
              <w:pStyle w:val="TableContents"/>
              <w:bidi w:val="0"/>
              <w:spacing w:before="0" w:after="283"/>
              <w:jc w:val="left"/>
              <w:rPr/>
            </w:pPr>
            <w:r>
              <w:rPr/>
              <w:t> </w:t>
            </w:r>
          </w:p>
        </w:tc>
        <w:tc>
          <w:tcPr>
            <w:tcW w:w="899" w:type="dxa"/>
            <w:tcBorders>
              <w:bottom w:val="double" w:sz="10" w:space="0" w:color="000000"/>
            </w:tcBorders>
            <w:tcMar>
              <w:bottom w:w="28" w:type="dxa"/>
            </w:tcMar>
            <w:vAlign w:val="center"/>
          </w:tcPr>
          <w:p>
            <w:pPr>
              <w:pStyle w:val="TableContents"/>
              <w:bidi w:val="0"/>
              <w:spacing w:before="0" w:after="283"/>
              <w:jc w:val="right"/>
              <w:rPr/>
            </w:pPr>
            <w:r>
              <w:rPr/>
              <w:t>16.32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double" w:sz="10" w:space="0" w:color="000000"/>
            </w:tcBorders>
            <w:tcMar>
              <w:bottom w:w="28" w:type="dxa"/>
            </w:tcMar>
            <w:vAlign w:val="center"/>
          </w:tcPr>
          <w:p>
            <w:pPr>
              <w:pStyle w:val="TableContents"/>
              <w:bidi w:val="0"/>
              <w:spacing w:before="0" w:after="283"/>
              <w:jc w:val="left"/>
              <w:rPr/>
            </w:pPr>
            <w:r>
              <w:rPr/>
              <w:t> </w:t>
            </w:r>
          </w:p>
        </w:tc>
        <w:tc>
          <w:tcPr>
            <w:tcW w:w="1034" w:type="dxa"/>
            <w:tcBorders>
              <w:bottom w:val="double" w:sz="10" w:space="0" w:color="000000"/>
            </w:tcBorders>
            <w:tcMar>
              <w:bottom w:w="28" w:type="dxa"/>
            </w:tcMar>
            <w:vAlign w:val="center"/>
          </w:tcPr>
          <w:p>
            <w:pPr>
              <w:pStyle w:val="TableContents"/>
              <w:bidi w:val="0"/>
              <w:spacing w:before="0" w:after="283"/>
              <w:jc w:val="right"/>
              <w:rPr/>
            </w:pPr>
            <w:r>
              <w:rPr/>
              <w:t>6.16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237,612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bottom w:val="double" w:sz="10" w:space="0" w:color="000000"/>
            </w:tcBorders>
            <w:tcMar>
              <w:bottom w:w="28" w:type="dxa"/>
            </w:tcMar>
            <w:vAlign w:val="center"/>
          </w:tcPr>
          <w:p>
            <w:pPr>
              <w:pStyle w:val="TableContents"/>
              <w:bidi w:val="0"/>
              <w:spacing w:before="0" w:after="283"/>
              <w:jc w:val="left"/>
              <w:rPr/>
            </w:pPr>
            <w:r>
              <w:rPr/>
              <w:t> </w:t>
            </w:r>
          </w:p>
        </w:tc>
        <w:tc>
          <w:tcPr>
            <w:tcW w:w="899" w:type="dxa"/>
            <w:tcBorders>
              <w:bottom w:val="double" w:sz="10" w:space="0" w:color="000000"/>
            </w:tcBorders>
            <w:tcMar>
              <w:bottom w:w="28" w:type="dxa"/>
            </w:tcMar>
            <w:vAlign w:val="center"/>
          </w:tcPr>
          <w:p>
            <w:pPr>
              <w:pStyle w:val="TableContents"/>
              <w:bidi w:val="0"/>
              <w:spacing w:before="0" w:after="283"/>
              <w:jc w:val="right"/>
              <w:rPr/>
            </w:pPr>
            <w:r>
              <w:rPr/>
              <w:t>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 </w:t>
            </w:r>
          </w:p>
        </w:tc>
        <w:tc>
          <w:tcPr>
            <w:tcW w:w="990" w:type="dxa"/>
            <w:tcBorders>
              <w:bottom w:val="double" w:sz="10" w:space="0" w:color="000000"/>
            </w:tcBorders>
            <w:tcMar>
              <w:bottom w:w="28" w:type="dxa"/>
            </w:tcMar>
            <w:vAlign w:val="center"/>
          </w:tcPr>
          <w:p>
            <w:pPr>
              <w:pStyle w:val="TableContents"/>
              <w:bidi w:val="0"/>
              <w:spacing w:before="0" w:after="283"/>
              <w:jc w:val="right"/>
              <w:rPr/>
            </w:pPr>
            <w:r>
              <w:rPr/>
              <w:t>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158,109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bottom w:val="double" w:sz="10" w:space="0" w:color="000000"/>
            </w:tcBorders>
            <w:tcMar>
              <w:bottom w:w="28" w:type="dxa"/>
            </w:tcMar>
            <w:vAlign w:val="center"/>
          </w:tcPr>
          <w:p>
            <w:pPr>
              <w:pStyle w:val="TableContents"/>
              <w:bidi w:val="0"/>
              <w:spacing w:before="0" w:after="283"/>
              <w:jc w:val="left"/>
              <w:rPr/>
            </w:pPr>
            <w:r>
              <w:rPr/>
              <w:t> </w:t>
            </w:r>
          </w:p>
        </w:tc>
        <w:tc>
          <w:tcPr>
            <w:tcW w:w="899" w:type="dxa"/>
            <w:tcBorders>
              <w:bottom w:val="double" w:sz="10" w:space="0" w:color="000000"/>
            </w:tcBorders>
            <w:tcMar>
              <w:bottom w:w="28" w:type="dxa"/>
            </w:tcMar>
            <w:vAlign w:val="center"/>
          </w:tcPr>
          <w:p>
            <w:pPr>
              <w:pStyle w:val="TableContents"/>
              <w:bidi w:val="0"/>
              <w:spacing w:before="0" w:after="283"/>
              <w:jc w:val="right"/>
              <w:rPr/>
            </w:pPr>
            <w:r>
              <w:rPr/>
              <w:t>49.12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 </w:t>
            </w:r>
          </w:p>
        </w:tc>
        <w:tc>
          <w:tcPr>
            <w:tcW w:w="990" w:type="dxa"/>
            <w:tcBorders>
              <w:bottom w:val="double" w:sz="10" w:space="0" w:color="000000"/>
            </w:tcBorders>
            <w:tcMar>
              <w:bottom w:w="28" w:type="dxa"/>
            </w:tcMar>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ind w:left="0" w:right="0" w:hanging="180"/>
              <w:jc w:val="left"/>
              <w:rPr/>
            </w:pPr>
            <w:r>
              <w:rPr/>
              <w:t> </w:t>
            </w:r>
          </w:p>
        </w:tc>
      </w:tr>
      <w:tr>
        <w:trPr/>
        <w:tc>
          <w:tcPr>
            <w:tcW w:w="1190" w:type="dxa"/>
            <w:tcBorders/>
            <w:shd w:fill="CCEEFF" w:val="clear"/>
            <w:vAlign w:val="center"/>
          </w:tcPr>
          <w:p>
            <w:pPr>
              <w:pStyle w:val="TableContents"/>
              <w:bidi w:val="0"/>
              <w:spacing w:before="0" w:after="283"/>
              <w:jc w:val="left"/>
              <w:rPr/>
            </w:pPr>
            <w:r>
              <w:rPr/>
              <w:t>Exercisable as of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157,394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double" w:sz="10" w:space="0" w:color="000000"/>
            </w:tcBorders>
            <w:shd w:fill="CCEEFF" w:val="clear"/>
            <w:tcMar>
              <w:bottom w:w="28" w:type="dxa"/>
            </w:tcMar>
            <w:vAlign w:val="center"/>
          </w:tcPr>
          <w:p>
            <w:pPr>
              <w:pStyle w:val="TableContents"/>
              <w:bidi w:val="0"/>
              <w:spacing w:before="0" w:after="283"/>
              <w:jc w:val="right"/>
              <w:rPr/>
            </w:pPr>
            <w:r>
              <w:rPr/>
              <w:t>17.44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100,633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double" w:sz="10" w:space="0" w:color="000000"/>
            </w:tcBorders>
            <w:shd w:fill="CCEEFF" w:val="clear"/>
            <w:tcMar>
              <w:bottom w:w="28" w:type="dxa"/>
            </w:tcMar>
            <w:vAlign w:val="center"/>
          </w:tcPr>
          <w:p>
            <w:pPr>
              <w:pStyle w:val="TableContents"/>
              <w:bidi w:val="0"/>
              <w:spacing w:before="0" w:after="283"/>
              <w:jc w:val="right"/>
              <w:rPr/>
            </w:pPr>
            <w:r>
              <w:rPr/>
              <w:t>19.68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double" w:sz="10" w:space="0" w:color="000000"/>
            </w:tcBorders>
            <w:shd w:fill="CCEEFF" w:val="clear"/>
            <w:tcMar>
              <w:bottom w:w="28" w:type="dxa"/>
            </w:tcM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85,465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double" w:sz="10" w:space="0" w:color="000000"/>
            </w:tcBorders>
            <w:shd w:fill="CCEEFF" w:val="clear"/>
            <w:tcMar>
              <w:bottom w:w="28" w:type="dxa"/>
            </w:tcMar>
            <w:vAlign w:val="center"/>
          </w:tcPr>
          <w:p>
            <w:pPr>
              <w:pStyle w:val="TableContents"/>
              <w:bidi w:val="0"/>
              <w:spacing w:before="0" w:after="283"/>
              <w:jc w:val="right"/>
              <w:rPr/>
            </w:pPr>
            <w:r>
              <w:rPr/>
              <w:t>49.12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double" w:sz="10" w:space="0" w:color="000000"/>
            </w:tcBorders>
            <w:shd w:fill="CCEEFF" w:val="clear"/>
            <w:tcMar>
              <w:bottom w:w="28" w:type="dxa"/>
            </w:tcMar>
            <w:vAlign w:val="center"/>
          </w:tcPr>
          <w:p>
            <w:pPr>
              <w:pStyle w:val="TableContents"/>
              <w:bidi w:val="0"/>
              <w:spacing w:before="0" w:after="283"/>
              <w:jc w:val="right"/>
              <w:rPr/>
            </w:pPr>
            <w:r>
              <w:rPr/>
              <w:t>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305"/>
        <w:gridCol w:w="5660"/>
      </w:tblGrid>
      <w:tr>
        <w:trPr/>
        <w:tc>
          <w:tcPr>
            <w:tcW w:w="305"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pPr>
            <w:r>
              <w:rPr/>
              <w:t>Regarding repricing during 2022, see Note 9E(3)(h) below.</w:t>
            </w:r>
          </w:p>
        </w:tc>
      </w:tr>
    </w:tbl>
    <w:p>
      <w:pPr>
        <w:pStyle w:val="TextBody"/>
        <w:bidi w:val="0"/>
        <w:spacing w:before="0" w:after="0"/>
        <w:ind w:left="1855"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of options granted during the years ended December 31, 2023 and 2022 was $0.13 and $0.48 and per share, respectively. No options granted during 2021.</w:t>
      </w:r>
    </w:p>
    <w:p>
      <w:pPr>
        <w:pStyle w:val="TextBody"/>
        <w:bidi w:val="0"/>
        <w:spacing w:before="0" w:after="0"/>
        <w:ind w:left="1855"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total unrecognized share-based payment expenses related to nonvested awards was $302, which is expected to be recognized over the next 2.75 years.</w:t>
      </w:r>
    </w:p>
    <w:p>
      <w:pPr>
        <w:pStyle w:val="TextBody"/>
        <w:bidi w:val="0"/>
        <w:spacing w:before="0" w:after="0"/>
        <w:ind w:left="0" w:right="0" w:firstLine="7038"/>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29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(3)</w:t>
            </w:r>
          </w:p>
        </w:tc>
        <w:tc>
          <w:tcPr>
            <w:tcW w:w="1760" w:type="dxa"/>
            <w:tcBorders/>
            <w:vAlign w:val="center"/>
          </w:tcPr>
          <w:p>
            <w:pPr>
              <w:pStyle w:val="TableContents"/>
              <w:bidi w:val="0"/>
              <w:spacing w:before="0" w:after="283"/>
              <w:jc w:val="both"/>
              <w:rPr>
                <w:b/>
              </w:rPr>
            </w:pPr>
            <w:r>
              <w:rPr>
                <w:b/>
              </w:rPr>
              <w:t>Options granted:</w:t>
            </w:r>
          </w:p>
        </w:tc>
      </w:tr>
    </w:tbl>
    <w:p>
      <w:pPr>
        <w:pStyle w:val="TextBody"/>
        <w:bidi w:val="0"/>
        <w:spacing w:before="0" w:after="0"/>
        <w:ind w:left="1985" w:right="0" w:hanging="28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pPr>
            <w:r>
              <w:rPr/>
              <w:t>a)</w:t>
            </w:r>
          </w:p>
        </w:tc>
        <w:tc>
          <w:tcPr>
            <w:tcW w:w="10031" w:type="dxa"/>
            <w:tcBorders/>
            <w:vAlign w:val="center"/>
          </w:tcPr>
          <w:p>
            <w:pPr>
              <w:pStyle w:val="TableContents"/>
              <w:bidi w:val="0"/>
              <w:spacing w:before="0" w:after="283"/>
              <w:jc w:val="both"/>
              <w:rPr/>
            </w:pPr>
            <w:r>
              <w:rPr/>
              <w:t>On June 24, 2018, the Company granted options to purchase 23,512 ordinary shares to its employees and directors at an exercise price of $49.12 per share (see also subsection (i) below). These options expire 10 years after their grant date and vest over three years in nine tranches. One third of the options vested upon the first-year anniversary and the reminder vested in eight equal quarterly tranches over a period of two years thereafter. For the year ended December 31, 2021, the Company recorded an expense of $89. No expenses have been recorded for the years ended December 31, 2023 and 2022.</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b)</w:t>
            </w:r>
          </w:p>
        </w:tc>
        <w:tc>
          <w:tcPr>
            <w:tcW w:w="10019" w:type="dxa"/>
            <w:tcBorders/>
            <w:vAlign w:val="center"/>
          </w:tcPr>
          <w:p>
            <w:pPr>
              <w:pStyle w:val="TableContents"/>
              <w:bidi w:val="0"/>
              <w:spacing w:before="0" w:after="283"/>
              <w:jc w:val="both"/>
              <w:rPr/>
            </w:pPr>
            <w:r>
              <w:rPr/>
              <w:t>On January 22, 2020, the Company granted options to purchase 83,912 ordinary shares to its employees at an exercise price of $49.12 per share (see also subsection (h) below) (of which options to purchase 9,322 ordinary shares were to the Company’s former CEO that were forfeited at the end of his employment in December 2020). These options expire 10 years after their grant date and vest over three years in nine tranches. One-third of the options vested on September 18, 2020 and the remainder vest in eight equal quarterly tranches over a period of two years thereafter. For the years ended December 31, 2022 and 2021, the Company recorded an expense of $163 and $380, respectively, No expenses have been recorded for the year ended December 31, 2023, in respect for such grant.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left"/>
              <w:rPr>
                <w:b/>
              </w:rPr>
            </w:pPr>
            <w:r>
              <w:rPr>
                <w:b/>
              </w:rPr>
              <w:t xml:space="preserve">Rail Vision Ltd. </w:t>
            </w:r>
          </w:p>
        </w:tc>
      </w:tr>
      <w:tr>
        <w:trPr/>
        <w:tc>
          <w:tcPr>
            <w:tcW w:w="5630" w:type="dxa"/>
            <w:tcBorders/>
            <w:vAlign w:val="center"/>
          </w:tcPr>
          <w:p>
            <w:pPr>
              <w:pStyle w:val="TableContents"/>
              <w:bidi w:val="0"/>
              <w:spacing w:before="0" w:after="283"/>
              <w:jc w:val="left"/>
              <w:rPr>
                <w:b/>
              </w:rPr>
            </w:pPr>
            <w:r>
              <w:rPr>
                <w:b/>
              </w:rPr>
              <w:t>Notes to Financial Statements</w:t>
            </w:r>
          </w:p>
        </w:tc>
      </w:tr>
      <w:tr>
        <w:trPr/>
        <w:tc>
          <w:tcPr>
            <w:tcW w:w="5630" w:type="dxa"/>
            <w:tcBorders>
              <w:bottom w:val="single" w:sz="12" w:space="0" w:color="000000"/>
            </w:tcBorders>
            <w:tcMar>
              <w:bottom w:w="28" w:type="dxa"/>
            </w:tcMar>
            <w:vAlign w:val="center"/>
          </w:tcPr>
          <w:p>
            <w:pPr>
              <w:pStyle w:val="TableContents"/>
              <w:bidi w:val="0"/>
              <w:spacing w:before="0" w:after="283"/>
              <w:jc w:val="left"/>
              <w:rPr/>
            </w:pPr>
            <w:r>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NOTE 9 - SHAREHOLDERS’ EQUITY (Cont.)</w:t>
      </w:r>
    </w:p>
    <w:p>
      <w:pPr>
        <w:pStyle w:val="TextBody"/>
        <w:bidi w:val="0"/>
        <w:spacing w:before="0" w:after="0"/>
        <w:ind w:left="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E.</w:t>
            </w:r>
          </w:p>
        </w:tc>
        <w:tc>
          <w:tcPr>
            <w:tcW w:w="2960" w:type="dxa"/>
            <w:tcBorders/>
            <w:vAlign w:val="center"/>
          </w:tcPr>
          <w:p>
            <w:pPr>
              <w:pStyle w:val="TableContents"/>
              <w:bidi w:val="0"/>
              <w:spacing w:before="0" w:after="283"/>
              <w:jc w:val="both"/>
              <w:rPr>
                <w:b/>
              </w:rPr>
            </w:pPr>
            <w:r>
              <w:rPr>
                <w:b/>
              </w:rPr>
              <w:t>Options to employees (Cont.)</w:t>
            </w:r>
          </w:p>
        </w:tc>
      </w:tr>
    </w:tbl>
    <w:p>
      <w:pPr>
        <w:pStyle w:val="TextBody"/>
        <w:bidi w:val="0"/>
        <w:spacing w:before="0" w:after="0"/>
        <w:ind w:left="1560" w:right="0" w:hanging="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9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(3)</w:t>
            </w:r>
          </w:p>
        </w:tc>
        <w:tc>
          <w:tcPr>
            <w:tcW w:w="2540" w:type="dxa"/>
            <w:tcBorders/>
            <w:vAlign w:val="center"/>
          </w:tcPr>
          <w:p>
            <w:pPr>
              <w:pStyle w:val="TableContents"/>
              <w:bidi w:val="0"/>
              <w:spacing w:before="0" w:after="283"/>
              <w:jc w:val="both"/>
              <w:rPr>
                <w:b/>
              </w:rPr>
            </w:pPr>
            <w:r>
              <w:rPr>
                <w:b/>
              </w:rPr>
              <w:t>Options granted: (Cont.)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pPr>
            <w:r>
              <w:rPr/>
              <w:t>c)</w:t>
            </w:r>
          </w:p>
        </w:tc>
        <w:tc>
          <w:tcPr>
            <w:tcW w:w="10037" w:type="dxa"/>
            <w:tcBorders/>
            <w:vAlign w:val="center"/>
          </w:tcPr>
          <w:p>
            <w:pPr>
              <w:pStyle w:val="TableContents"/>
              <w:bidi w:val="0"/>
              <w:spacing w:before="0" w:after="283"/>
              <w:jc w:val="both"/>
              <w:rPr/>
            </w:pPr>
            <w:r>
              <w:rPr/>
              <w:t>In October 2020, the Company granted to its former chairman of the Board options to purchase 69,602 ordinary shares are exercisable at an exercise price of $49.12 per share (see also subsection (i) below). The options vest as follows: (1) options to purchase 17,400 ordinary shares vested in one tranche at the end of 12 months from October 13, 2020; and (2) options to purchase 34,801 ordinary shares will vest in the event that the Company generate a cumulative order backlog (as defined in the option agreement) in the amount of not less than $7,000 by the end of 18 months from October 13, 2020; (3) options to purchase 17,400 ordinary shares will vest in the event that the Company reaches a cumulative order backlog of $15,000 by the end of 24 months from October 13, 2020 (including the first cumulative order backlog); and all subject to him serving as the active Chairman of the Company’s Board at the time of vesting and were subject to an acceleration of 25% of his unvested options (i.e., 17,402) in the event that the Company effectuates an IPO. Accordingly, upon the completion of the IPO on April 4, 2022 (see Note 9B(4)), 17,402 were accelerated and considered fully vested.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2022 and 2021, the Company recorded an expense of $133 and $332, respectively, No expenses have been recorded for the year ended December 31, 2023, in respect for such grants.</w:t>
      </w:r>
    </w:p>
    <w:p>
      <w:pPr>
        <w:pStyle w:val="TextBody"/>
        <w:bidi w:val="0"/>
        <w:spacing w:before="0" w:after="0"/>
        <w:ind w:left="2383"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 total of 34,801 of the former chairman’s options had expired as the periods of 18 and 24 months had passed and the Company did not reach the required cumulative order backlogs, as detailed above.</w:t>
      </w:r>
    </w:p>
    <w:p>
      <w:pPr>
        <w:pStyle w:val="TextBody"/>
        <w:bidi w:val="0"/>
        <w:spacing w:before="0" w:after="0"/>
        <w:ind w:left="238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d)</w:t>
            </w:r>
          </w:p>
        </w:tc>
        <w:tc>
          <w:tcPr>
            <w:tcW w:w="10019" w:type="dxa"/>
            <w:tcBorders/>
            <w:vAlign w:val="center"/>
          </w:tcPr>
          <w:p>
            <w:pPr>
              <w:pStyle w:val="TableContents"/>
              <w:bidi w:val="0"/>
              <w:spacing w:before="0" w:after="283"/>
              <w:jc w:val="both"/>
              <w:rPr/>
            </w:pPr>
            <w:r>
              <w:rPr/>
              <w:t>In October 2020, the Company granted to its CEO options to purchase 7,700 ordinary shares at an exercise price of $49.12 per share (see also subsection (i) below) vest as follows: (1) options to purchase 3,850 ordinary shares will vest on the condition that the Company generates, no later than October 12, 2022, a cumulative order backlog (as defined in the option agreement) in an amount not less than $10,000; and (2) options to purchase the remaining 3,850 ordinary shares will vest on the condition that the Company generates, no later than October 12, 2024 a cumulative order backlog (as defined above) in an amount not less than $20,000 (including the first cumulative order backlog); and all subject to him serving in his position at the time of vesting.</w:t>
            </w:r>
          </w:p>
        </w:tc>
      </w:tr>
    </w:tbl>
    <w:p>
      <w:pPr>
        <w:pStyle w:val="TextBody"/>
        <w:bidi w:val="0"/>
        <w:spacing w:before="0" w:after="0"/>
        <w:ind w:left="2383"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2022 and 2021, the Company recorded an expense of $22, $20 and $12, respectively, in respect for such grant.</w:t>
      </w:r>
    </w:p>
    <w:p>
      <w:pPr>
        <w:pStyle w:val="TextBody"/>
        <w:bidi w:val="0"/>
        <w:spacing w:before="0" w:after="0"/>
        <w:ind w:left="2383"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 total of 3,850 of the CEO’s options had expired as the period of 24 months has passed and the Company did not reach the required cumulative order backlog, as detailed above.</w:t>
      </w:r>
    </w:p>
    <w:p>
      <w:pPr>
        <w:pStyle w:val="TextBody"/>
        <w:bidi w:val="0"/>
        <w:spacing w:before="0" w:after="0"/>
        <w:ind w:left="238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e)</w:t>
            </w:r>
          </w:p>
        </w:tc>
        <w:tc>
          <w:tcPr>
            <w:tcW w:w="10031" w:type="dxa"/>
            <w:tcBorders/>
            <w:vAlign w:val="center"/>
          </w:tcPr>
          <w:p>
            <w:pPr>
              <w:pStyle w:val="TableContents"/>
              <w:bidi w:val="0"/>
              <w:spacing w:before="0" w:after="283"/>
              <w:jc w:val="both"/>
              <w:rPr/>
            </w:pPr>
            <w:r>
              <w:rPr/>
              <w:t>On November 3, 2020, the Company granted options to purchase 13,475 ordinary shares to its employees at an exercise price of $49.12 per share (see also subsection (i) below). These options expire 10 years after their grant date and vest over three years in nine tranches. One-third of the options vested on November 3, 2021, and the remainder vest in eight equal quarterly tranches over a period of two years thereafter. For the years ended December 31, 2023, 2022 and 2021, the Company recorded an expense of $45, $46 and $62, respectively, in respect for such grant.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left"/>
              <w:rPr>
                <w:b/>
              </w:rPr>
            </w:pPr>
            <w:r>
              <w:rPr>
                <w:b/>
              </w:rPr>
              <w:t xml:space="preserve">Rail Vision Ltd. </w:t>
            </w:r>
          </w:p>
        </w:tc>
      </w:tr>
      <w:tr>
        <w:trPr/>
        <w:tc>
          <w:tcPr>
            <w:tcW w:w="5630" w:type="dxa"/>
            <w:tcBorders/>
            <w:vAlign w:val="center"/>
          </w:tcPr>
          <w:p>
            <w:pPr>
              <w:pStyle w:val="TableContents"/>
              <w:bidi w:val="0"/>
              <w:spacing w:before="0" w:after="283"/>
              <w:jc w:val="left"/>
              <w:rPr>
                <w:b/>
              </w:rPr>
            </w:pPr>
            <w:r>
              <w:rPr>
                <w:b/>
              </w:rPr>
              <w:t>Notes to Financial Statements</w:t>
            </w:r>
          </w:p>
        </w:tc>
      </w:tr>
      <w:tr>
        <w:trPr/>
        <w:tc>
          <w:tcPr>
            <w:tcW w:w="5630" w:type="dxa"/>
            <w:tcBorders>
              <w:bottom w:val="single" w:sz="12" w:space="0" w:color="000000"/>
            </w:tcBorders>
            <w:tcMar>
              <w:bottom w:w="28" w:type="dxa"/>
            </w:tcMar>
            <w:vAlign w:val="center"/>
          </w:tcPr>
          <w:p>
            <w:pPr>
              <w:pStyle w:val="TableContents"/>
              <w:bidi w:val="0"/>
              <w:spacing w:before="0" w:after="283"/>
              <w:jc w:val="left"/>
              <w:rPr/>
            </w:pPr>
            <w:r>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NOTE 9 - SHAREHOLDERS’ EQUITY (Cont.)</w:t>
      </w:r>
    </w:p>
    <w:p>
      <w:pPr>
        <w:pStyle w:val="TextBody"/>
        <w:bidi w:val="0"/>
        <w:spacing w:before="0" w:after="0"/>
        <w:ind w:left="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E.</w:t>
            </w:r>
          </w:p>
        </w:tc>
        <w:tc>
          <w:tcPr>
            <w:tcW w:w="2960" w:type="dxa"/>
            <w:tcBorders/>
            <w:vAlign w:val="center"/>
          </w:tcPr>
          <w:p>
            <w:pPr>
              <w:pStyle w:val="TableContents"/>
              <w:bidi w:val="0"/>
              <w:spacing w:before="0" w:after="283"/>
              <w:jc w:val="both"/>
              <w:rPr>
                <w:b/>
              </w:rPr>
            </w:pPr>
            <w:r>
              <w:rPr>
                <w:b/>
              </w:rPr>
              <w:t>Options to employees (Cont.)</w:t>
            </w:r>
          </w:p>
        </w:tc>
      </w:tr>
    </w:tbl>
    <w:p>
      <w:pPr>
        <w:pStyle w:val="TextBody"/>
        <w:bidi w:val="0"/>
        <w:spacing w:before="0" w:after="0"/>
        <w:ind w:left="1494" w:right="0" w:hanging="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29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(3)</w:t>
            </w:r>
          </w:p>
        </w:tc>
        <w:tc>
          <w:tcPr>
            <w:tcW w:w="2465" w:type="dxa"/>
            <w:tcBorders/>
            <w:vAlign w:val="center"/>
          </w:tcPr>
          <w:p>
            <w:pPr>
              <w:pStyle w:val="TableContents"/>
              <w:bidi w:val="0"/>
              <w:spacing w:before="0" w:after="283"/>
              <w:jc w:val="both"/>
              <w:rPr>
                <w:b/>
              </w:rPr>
            </w:pPr>
            <w:r>
              <w:rPr>
                <w:b/>
              </w:rPr>
              <w:t>Options granted (Cont.)</w:t>
            </w:r>
          </w:p>
        </w:tc>
      </w:tr>
    </w:tbl>
    <w:p>
      <w:pPr>
        <w:pStyle w:val="TextBody"/>
        <w:bidi w:val="0"/>
        <w:spacing w:before="0" w:after="0"/>
        <w:ind w:left="149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pPr>
            <w:r>
              <w:rPr/>
              <w:t>e)</w:t>
            </w:r>
          </w:p>
        </w:tc>
        <w:tc>
          <w:tcPr>
            <w:tcW w:w="10033" w:type="dxa"/>
            <w:tcBorders/>
            <w:vAlign w:val="center"/>
          </w:tcPr>
          <w:p>
            <w:pPr>
              <w:pStyle w:val="TableContents"/>
              <w:bidi w:val="0"/>
              <w:spacing w:before="0" w:after="283"/>
              <w:jc w:val="both"/>
              <w:rPr/>
            </w:pPr>
            <w:r>
              <w:rPr/>
              <w:t>On May 11, 2022, the Company granted to three officers options to purchase 68,395 ordinary shares including 33,277 to its former chairman of the Board, 19,510 to its CEO and 15,608 to its CFO, at an exercise price of $14.80 per share (equal to the average closing share price on the Nasdaq over the first 30 calendar days following the IPO on April 4, 2022). These options expire 10 years after their grant date and vest over three years in nine tranches. One-third of the options vested on May 11, 2023 and the remainder vest in eight equal quarterly tranches over a period of two years thereafter. For the years ended December 31, 2023 and 2022, The Company recorded an expense of $96 and $61 respectively, in respect for such grant.</w:t>
            </w:r>
          </w:p>
        </w:tc>
      </w:tr>
    </w:tbl>
    <w:p>
      <w:pPr>
        <w:pStyle w:val="TextBody"/>
        <w:bidi w:val="0"/>
        <w:spacing w:before="0" w:after="0"/>
        <w:ind w:left="220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8"/>
        <w:gridCol w:w="10059"/>
      </w:tblGrid>
      <w:tr>
        <w:trPr/>
        <w:tc>
          <w:tcPr>
            <w:tcW w:w="3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f)</w:t>
            </w:r>
          </w:p>
        </w:tc>
        <w:tc>
          <w:tcPr>
            <w:tcW w:w="10059" w:type="dxa"/>
            <w:tcBorders/>
            <w:vAlign w:val="center"/>
          </w:tcPr>
          <w:p>
            <w:pPr>
              <w:pStyle w:val="TableContents"/>
              <w:bidi w:val="0"/>
              <w:spacing w:before="0" w:after="283"/>
              <w:jc w:val="both"/>
              <w:rPr/>
            </w:pPr>
            <w:r>
              <w:rPr/>
              <w:t>On May 11, 2022, and June 6, 2022, the Company granted to four of its directors options to purchase 14,974 ordinary shares and 4,991 ordinary shares, respectively, with an exercise price of $14.80 per share. Such options will vest one-third following 12 months from the grant date of such options, second one-third following 24 months from the grant date and the balance following 36 months. For the years ended December 31, 2023 and 2022, the Company recorded an expense of $27 and $17 respectively, in respect for such grant.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g)</w:t>
            </w:r>
          </w:p>
        </w:tc>
        <w:tc>
          <w:tcPr>
            <w:tcW w:w="10019" w:type="dxa"/>
            <w:tcBorders/>
            <w:vAlign w:val="center"/>
          </w:tcPr>
          <w:p>
            <w:pPr>
              <w:pStyle w:val="TableContents"/>
              <w:bidi w:val="0"/>
              <w:spacing w:before="0" w:after="283"/>
              <w:jc w:val="both"/>
              <w:rPr/>
            </w:pPr>
            <w:r>
              <w:rPr/>
              <w:t>On September 13, 2022, in accordance with the terms of the 2017 Plan, the Board approved a modification of 46,964 outstanding options held by officers and employees that had an exercise price of $49.12 per share and reduced the exercise price to $14.80 per share. This resolution was effective from November 3, 2022, after receiving approval from the Israeli Tax Authorities. The Company calculated the fair value of such options immediately before and after the modification. The Company immediately recognized the additional fair value attributable to vested options, approximately $51, as share based payment expenses. The additional fair value resulting from the modification, approximately $30, is being expensed over the remaining vesting period of the modified options.</w:t>
            </w:r>
          </w:p>
        </w:tc>
      </w:tr>
    </w:tbl>
    <w:p>
      <w:pPr>
        <w:pStyle w:val="TextBody"/>
        <w:bidi w:val="0"/>
        <w:spacing w:before="0" w:after="0"/>
        <w:ind w:left="2203"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modification of 46,021 additional outstanding options held by the Company’s CEO and two Directors was approved by the Board and the Company’s shareholders.</w:t>
      </w:r>
    </w:p>
    <w:p>
      <w:pPr>
        <w:pStyle w:val="TextBody"/>
        <w:bidi w:val="0"/>
        <w:spacing w:before="0" w:after="0"/>
        <w:ind w:left="22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h)</w:t>
            </w:r>
          </w:p>
        </w:tc>
        <w:tc>
          <w:tcPr>
            <w:tcW w:w="10013" w:type="dxa"/>
            <w:tcBorders/>
            <w:vAlign w:val="center"/>
          </w:tcPr>
          <w:p>
            <w:pPr>
              <w:pStyle w:val="TableContents"/>
              <w:bidi w:val="0"/>
              <w:spacing w:before="0" w:after="283"/>
              <w:jc w:val="both"/>
              <w:rPr/>
            </w:pPr>
            <w:r>
              <w:rPr/>
              <w:t>On September 13, 2022 the Company granted 31,500 options to its employees at an exercise price of $14.80 per share. These options expire 10 years after their grant date and vest over three years in nine tranches. One-third of the options vested on September 13, 2023 and the remainder vest in eight equal quarterly tranches over a period of two years thereafter. For the years ended December 31,2023 and 2022, the Company recorded an expense of $22 and $10 respectively, in respect for such grant.</w:t>
            </w:r>
          </w:p>
        </w:tc>
      </w:tr>
    </w:tbl>
    <w:p>
      <w:pPr>
        <w:pStyle w:val="TextBody"/>
        <w:bidi w:val="0"/>
        <w:spacing w:before="0" w:after="0"/>
        <w:ind w:left="220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i)</w:t>
            </w:r>
          </w:p>
        </w:tc>
        <w:tc>
          <w:tcPr>
            <w:tcW w:w="10057" w:type="dxa"/>
            <w:tcBorders/>
            <w:vAlign w:val="center"/>
          </w:tcPr>
          <w:p>
            <w:pPr>
              <w:pStyle w:val="TableContents"/>
              <w:bidi w:val="0"/>
              <w:spacing w:before="0" w:after="283"/>
              <w:jc w:val="both"/>
              <w:rPr/>
            </w:pPr>
            <w:r>
              <w:rPr/>
              <w:t>On September 13, 2022 the Company granted 12,500 options to two of its officers at an exercise price of $14.80 per share. These options expire 10 years after their grant date and vest in twelve equal quarterly tranches over a period of three years. For the years ended December 31, 2023 and 2022, the Company recorded an expense of $12 and $4 respectively, in respect for such grant.</w:t>
            </w:r>
          </w:p>
        </w:tc>
      </w:tr>
    </w:tbl>
    <w:p>
      <w:pPr>
        <w:pStyle w:val="TextBody"/>
        <w:bidi w:val="0"/>
        <w:spacing w:before="0" w:after="0"/>
        <w:ind w:left="220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6"/>
        <w:gridCol w:w="10061"/>
      </w:tblGrid>
      <w:tr>
        <w:trPr/>
        <w:tc>
          <w:tcPr>
            <w:tcW w:w="38"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pPr>
            <w:r>
              <w:rPr/>
              <w:t>j)</w:t>
            </w:r>
          </w:p>
        </w:tc>
        <w:tc>
          <w:tcPr>
            <w:tcW w:w="10061" w:type="dxa"/>
            <w:tcBorders/>
            <w:vAlign w:val="center"/>
          </w:tcPr>
          <w:p>
            <w:pPr>
              <w:pStyle w:val="TableContents"/>
              <w:bidi w:val="0"/>
              <w:spacing w:before="0" w:after="283"/>
              <w:jc w:val="both"/>
              <w:rPr/>
            </w:pPr>
            <w:r>
              <w:rPr/>
              <w:t>During the period June till October, 2023 the Company granted a total of 68,739 to its employees (including its CEO) and one of its director at an exercise price of $14.80 per share. These options expire 10 years after their grant date and vest over three years in nine tranches. One-third of the options vested on June 18, 2024 and the remainder vest in eight equal quarterly tranches over a period of two years thereafter. For the year ended December 31, 2023, the Company recorded an expense of $5, in respect for such grants.</w:t>
            </w:r>
          </w:p>
        </w:tc>
      </w:tr>
    </w:tbl>
    <w:p>
      <w:pPr>
        <w:pStyle w:val="TextBody"/>
        <w:bidi w:val="0"/>
        <w:spacing w:before="0" w:after="0"/>
        <w:ind w:left="2280" w:right="0" w:hanging="0"/>
        <w:jc w:val="both"/>
        <w:rPr>
          <w:caps w:val="false"/>
          <w:smallCaps w:val="false"/>
        </w:rPr>
      </w:pPr>
      <w:r>
        <w:rPr>
          <w:caps w:val="false"/>
          <w:smallCaps w:val="false"/>
        </w:rPr>
        <w:t> </w:t>
      </w:r>
    </w:p>
    <w:p>
      <w:pPr>
        <w:pStyle w:val="TextBody"/>
        <w:bidi w:val="0"/>
        <w:spacing w:before="0" w:after="0"/>
        <w:ind w:left="228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2280"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left"/>
              <w:rPr>
                <w:b/>
              </w:rPr>
            </w:pPr>
            <w:r>
              <w:rPr>
                <w:b/>
              </w:rPr>
              <w:t xml:space="preserve">Rail Vision Ltd. </w:t>
            </w:r>
          </w:p>
        </w:tc>
      </w:tr>
      <w:tr>
        <w:trPr/>
        <w:tc>
          <w:tcPr>
            <w:tcW w:w="5630" w:type="dxa"/>
            <w:tcBorders/>
            <w:vAlign w:val="center"/>
          </w:tcPr>
          <w:p>
            <w:pPr>
              <w:pStyle w:val="TableContents"/>
              <w:bidi w:val="0"/>
              <w:spacing w:before="0" w:after="283"/>
              <w:jc w:val="left"/>
              <w:rPr>
                <w:b/>
              </w:rPr>
            </w:pPr>
            <w:r>
              <w:rPr>
                <w:b/>
              </w:rPr>
              <w:t>Notes to Financial Statements</w:t>
            </w:r>
          </w:p>
        </w:tc>
      </w:tr>
      <w:tr>
        <w:trPr/>
        <w:tc>
          <w:tcPr>
            <w:tcW w:w="5630" w:type="dxa"/>
            <w:tcBorders>
              <w:bottom w:val="single" w:sz="12" w:space="0" w:color="000000"/>
            </w:tcBorders>
            <w:tcMar>
              <w:bottom w:w="28" w:type="dxa"/>
            </w:tcMar>
            <w:vAlign w:val="center"/>
          </w:tcPr>
          <w:p>
            <w:pPr>
              <w:pStyle w:val="TableContents"/>
              <w:bidi w:val="0"/>
              <w:spacing w:before="0" w:after="283"/>
              <w:jc w:val="left"/>
              <w:rPr/>
            </w:pPr>
            <w:r>
              <w:rPr/>
              <w:t>(U.S. dollars in thousands, except share and per share data)</w:t>
            </w:r>
          </w:p>
        </w:tc>
      </w:tr>
    </w:tbl>
    <w:p>
      <w:pPr>
        <w:pStyle w:val="TextBody"/>
        <w:bidi w:val="0"/>
        <w:spacing w:before="0" w:after="0"/>
        <w:ind w:left="22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NOTE 9 - SHAREHOLDERS’ EQUITY (Cont.)</w:t>
      </w:r>
    </w:p>
    <w:p>
      <w:pPr>
        <w:pStyle w:val="TextBody"/>
        <w:bidi w:val="0"/>
        <w:spacing w:before="0" w:after="0"/>
        <w:ind w:left="1701" w:right="0" w:hanging="567"/>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23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F.</w:t>
            </w:r>
          </w:p>
        </w:tc>
        <w:tc>
          <w:tcPr>
            <w:tcW w:w="3260" w:type="dxa"/>
            <w:tcBorders/>
            <w:vAlign w:val="center"/>
          </w:tcPr>
          <w:p>
            <w:pPr>
              <w:pStyle w:val="TableContents"/>
              <w:bidi w:val="0"/>
              <w:spacing w:before="0" w:after="283"/>
              <w:jc w:val="both"/>
              <w:rPr>
                <w:b/>
              </w:rPr>
            </w:pPr>
            <w:r>
              <w:rPr>
                <w:b/>
              </w:rPr>
              <w:t>Share Based Payment Expense:</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share-based payment expense related to options granted to employees and service providers comprised, at each period, as follows:</w:t>
      </w:r>
    </w:p>
    <w:p>
      <w:pPr>
        <w:pStyle w:val="TextBody"/>
        <w:bidi w:val="0"/>
        <w:spacing w:before="0" w:after="0"/>
        <w:ind w:left="1701" w:right="0" w:hanging="0"/>
        <w:jc w:val="both"/>
        <w:rPr>
          <w:caps w:val="false"/>
          <w:smallCaps w:val="false"/>
        </w:rPr>
      </w:pPr>
      <w:r>
        <w:rPr>
          <w:caps w:val="false"/>
          <w:smallCaps w:val="false"/>
        </w:rPr>
        <w:t> </w:t>
      </w:r>
    </w:p>
    <w:tbl>
      <w:tblPr>
        <w:tblW w:w="6186" w:type="dxa"/>
        <w:jc w:val="left"/>
        <w:tblInd w:w="0" w:type="dxa"/>
        <w:tblLayout w:type="fixed"/>
        <w:tblCellMar>
          <w:top w:w="0" w:type="dxa"/>
          <w:left w:w="0" w:type="dxa"/>
          <w:bottom w:w="0" w:type="dxa"/>
          <w:right w:w="0" w:type="dxa"/>
        </w:tblCellMar>
      </w:tblPr>
      <w:tblGrid>
        <w:gridCol w:w="3395"/>
        <w:gridCol w:w="60"/>
        <w:gridCol w:w="188"/>
        <w:gridCol w:w="510"/>
        <w:gridCol w:w="80"/>
        <w:gridCol w:w="80"/>
        <w:gridCol w:w="188"/>
        <w:gridCol w:w="510"/>
        <w:gridCol w:w="80"/>
        <w:gridCol w:w="80"/>
        <w:gridCol w:w="188"/>
        <w:gridCol w:w="752"/>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510" w:type="dxa"/>
            <w:tcBorders/>
            <w:shd w:fill="CCEEFF" w:val="clear"/>
            <w:vAlign w:val="center"/>
          </w:tcPr>
          <w:p>
            <w:pPr>
              <w:pStyle w:val="TableContents"/>
              <w:bidi w:val="0"/>
              <w:spacing w:before="0" w:after="283"/>
              <w:jc w:val="right"/>
              <w:rPr/>
            </w:pPr>
            <w:r>
              <w:rPr/>
              <w:t>8</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0"/>
              <w:jc w:val="right"/>
              <w:rPr/>
            </w:pPr>
            <w:r>
              <w:rPr/>
              <w:t>6</w:t>
            </w:r>
            <w:r>
              <w:rPr>
                <w:rFonts w:ascii="Times New Roman;Times;Serif" w:hAnsi="Times New Roman;Times;Serif"/>
                <w:sz w:val="20"/>
              </w:rPr>
              <w:t>1</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174</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pPr>
            <w:r>
              <w:rPr/>
              <w:t>608</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12" w:space="0" w:color="000000"/>
            </w:tcBorders>
            <w:shd w:fill="CCEEFF" w:val="clear"/>
            <w:tcMar>
              <w:bottom w:w="28" w:type="dxa"/>
            </w:tcMar>
            <w:vAlign w:val="center"/>
          </w:tcPr>
          <w:p>
            <w:pPr>
              <w:pStyle w:val="TableContents"/>
              <w:bidi w:val="0"/>
              <w:spacing w:before="0" w:after="283"/>
              <w:jc w:val="right"/>
              <w:rPr/>
            </w:pPr>
            <w:r>
              <w:rPr/>
              <w:t>212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12" w:space="0" w:color="000000"/>
            </w:tcBorders>
            <w:shd w:fill="CCEEFF" w:val="clear"/>
            <w:tcMar>
              <w:bottom w:w="28" w:type="dxa"/>
            </w:tcMar>
            <w:vAlign w:val="center"/>
          </w:tcPr>
          <w:p>
            <w:pPr>
              <w:pStyle w:val="TableContents"/>
              <w:bidi w:val="0"/>
              <w:spacing w:before="0" w:after="283"/>
              <w:jc w:val="right"/>
              <w:rPr/>
            </w:pPr>
            <w:r>
              <w:rPr/>
              <w:t>323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12" w:space="0" w:color="000000"/>
            </w:tcBorders>
            <w:shd w:fill="CCEEFF" w:val="clear"/>
            <w:tcMar>
              <w:bottom w:w="28" w:type="dxa"/>
            </w:tcMar>
            <w:vAlign w:val="center"/>
          </w:tcPr>
          <w:p>
            <w:pPr>
              <w:pStyle w:val="TableContents"/>
              <w:bidi w:val="0"/>
              <w:spacing w:before="0" w:after="283"/>
              <w:jc w:val="right"/>
              <w:rPr/>
            </w:pPr>
            <w:r>
              <w:rPr/>
              <w:t>411</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Total share-based payment expense</w:t>
            </w:r>
          </w:p>
        </w:tc>
        <w:tc>
          <w:tcPr>
            <w:tcW w:w="6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510" w:type="dxa"/>
            <w:tcBorders>
              <w:bottom w:val="double" w:sz="10" w:space="0" w:color="000000"/>
            </w:tcBorders>
            <w:tcMar>
              <w:bottom w:w="28" w:type="dxa"/>
            </w:tcMar>
            <w:vAlign w:val="center"/>
          </w:tcPr>
          <w:p>
            <w:pPr>
              <w:pStyle w:val="TableContents"/>
              <w:bidi w:val="0"/>
              <w:spacing w:before="0" w:after="283"/>
              <w:jc w:val="right"/>
              <w:rPr/>
            </w:pPr>
            <w:r>
              <w:rPr/>
              <w:t>273</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510" w:type="dxa"/>
            <w:tcBorders>
              <w:bottom w:val="double" w:sz="10" w:space="0" w:color="000000"/>
            </w:tcBorders>
            <w:tcMar>
              <w:bottom w:w="28" w:type="dxa"/>
            </w:tcMar>
            <w:vAlign w:val="center"/>
          </w:tcPr>
          <w:p>
            <w:pPr>
              <w:pStyle w:val="TableContents"/>
              <w:bidi w:val="0"/>
              <w:spacing w:before="0" w:after="283"/>
              <w:jc w:val="right"/>
              <w:rPr/>
            </w:pPr>
            <w:r>
              <w:rPr/>
              <w:t>505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pPr>
            <w:r>
              <w:rPr/>
              <w:t>$</w:t>
            </w:r>
          </w:p>
        </w:tc>
        <w:tc>
          <w:tcPr>
            <w:tcW w:w="752" w:type="dxa"/>
            <w:tcBorders>
              <w:bottom w:val="double" w:sz="10" w:space="0" w:color="000000"/>
            </w:tcBorders>
            <w:tcMar>
              <w:bottom w:w="28" w:type="dxa"/>
            </w:tcMar>
            <w:vAlign w:val="center"/>
          </w:tcPr>
          <w:p>
            <w:pPr>
              <w:pStyle w:val="TableContents"/>
              <w:bidi w:val="0"/>
              <w:spacing w:before="0" w:after="283"/>
              <w:jc w:val="right"/>
              <w:rPr/>
            </w:pPr>
            <w:r>
              <w:rPr/>
              <w:t>1,055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RESEARCH AND DEVELOPMENT, NET</w:t>
      </w:r>
    </w:p>
    <w:p>
      <w:pPr>
        <w:pStyle w:val="TextBody"/>
        <w:bidi w:val="0"/>
        <w:spacing w:before="0" w:after="0"/>
        <w:ind w:left="0" w:right="0" w:hanging="0"/>
        <w:jc w:val="both"/>
        <w:rPr>
          <w:caps w:val="false"/>
          <w:smallCaps w:val="false"/>
        </w:rPr>
      </w:pPr>
      <w:r>
        <w:rPr>
          <w:caps w:val="false"/>
          <w:smallCaps w:val="false"/>
        </w:rPr>
        <w:t> </w:t>
      </w:r>
    </w:p>
    <w:tbl>
      <w:tblPr>
        <w:tblW w:w="6172" w:type="dxa"/>
        <w:jc w:val="left"/>
        <w:tblInd w:w="0" w:type="dxa"/>
        <w:tblLayout w:type="fixed"/>
        <w:tblCellMar>
          <w:top w:w="0" w:type="dxa"/>
          <w:left w:w="0" w:type="dxa"/>
          <w:bottom w:w="0" w:type="dxa"/>
          <w:right w:w="0" w:type="dxa"/>
        </w:tblCellMar>
      </w:tblPr>
      <w:tblGrid>
        <w:gridCol w:w="3380"/>
        <w:gridCol w:w="60"/>
        <w:gridCol w:w="159"/>
        <w:gridCol w:w="636"/>
        <w:gridCol w:w="68"/>
        <w:gridCol w:w="68"/>
        <w:gridCol w:w="159"/>
        <w:gridCol w:w="636"/>
        <w:gridCol w:w="68"/>
        <w:gridCol w:w="68"/>
        <w:gridCol w:w="159"/>
        <w:gridCol w:w="636"/>
        <w:gridCol w:w="75"/>
      </w:tblGrid>
      <w:tr>
        <w:trPr/>
        <w:tc>
          <w:tcPr>
            <w:tcW w:w="3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95" w:type="dxa"/>
            <w:gridSpan w:val="2"/>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5,671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5,049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5,586</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Share-based payment</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61</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174</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608</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R&amp;D consumables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696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160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318</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Rent and office maintenance</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416</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355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390</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Depreciation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151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130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132</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Subcontracted work and consulting</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15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Travel and other expenses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347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 w:type="dxa"/>
            <w:tcBorders>
              <w:bottom w:val="double" w:sz="10" w:space="0" w:color="000000"/>
            </w:tcBorders>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tcMar>
              <w:bottom w:w="28" w:type="dxa"/>
            </w:tcMar>
            <w:vAlign w:val="center"/>
          </w:tcPr>
          <w:p>
            <w:pPr>
              <w:pStyle w:val="TableContents"/>
              <w:bidi w:val="0"/>
              <w:spacing w:before="0" w:after="283"/>
              <w:jc w:val="right"/>
              <w:rPr/>
            </w:pPr>
            <w:r>
              <w:rPr/>
              <w:t>7,145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9" w:type="dxa"/>
            <w:tcBorders>
              <w:bottom w:val="double" w:sz="10" w:space="0" w:color="000000"/>
            </w:tcBorders>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tcMar>
              <w:bottom w:w="28" w:type="dxa"/>
            </w:tcMar>
            <w:vAlign w:val="center"/>
          </w:tcPr>
          <w:p>
            <w:pPr>
              <w:pStyle w:val="TableContents"/>
              <w:bidi w:val="0"/>
              <w:spacing w:before="0" w:after="283"/>
              <w:jc w:val="right"/>
              <w:rPr/>
            </w:pPr>
            <w:r>
              <w:rPr/>
              <w:t>6,230</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9" w:type="dxa"/>
            <w:tcBorders>
              <w:bottom w:val="double" w:sz="10" w:space="0" w:color="000000"/>
            </w:tcBorders>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tcMar>
              <w:bottom w:w="28" w:type="dxa"/>
            </w:tcMar>
            <w:vAlign w:val="center"/>
          </w:tcPr>
          <w:p>
            <w:pPr>
              <w:pStyle w:val="TableContents"/>
              <w:bidi w:val="0"/>
              <w:spacing w:before="0" w:after="283"/>
              <w:jc w:val="right"/>
              <w:rPr/>
            </w:pPr>
            <w:r>
              <w:rPr/>
              <w:t>7,208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GENERAL AND ADMINISTRATIVE</w:t>
      </w:r>
    </w:p>
    <w:p>
      <w:pPr>
        <w:pStyle w:val="TextBody"/>
        <w:bidi w:val="0"/>
        <w:spacing w:before="0" w:after="0"/>
        <w:ind w:left="0" w:right="0" w:hanging="0"/>
        <w:jc w:val="both"/>
        <w:rPr>
          <w:caps w:val="false"/>
          <w:smallCaps w:val="false"/>
        </w:rPr>
      </w:pPr>
      <w:r>
        <w:rPr>
          <w:caps w:val="false"/>
          <w:smallCaps w:val="false"/>
        </w:rPr>
        <w:t> </w:t>
      </w:r>
    </w:p>
    <w:tbl>
      <w:tblPr>
        <w:tblW w:w="5522" w:type="dxa"/>
        <w:jc w:val="left"/>
        <w:tblInd w:w="0" w:type="dxa"/>
        <w:tblLayout w:type="fixed"/>
        <w:tblCellMar>
          <w:top w:w="0" w:type="dxa"/>
          <w:left w:w="0" w:type="dxa"/>
          <w:bottom w:w="0" w:type="dxa"/>
          <w:right w:w="0" w:type="dxa"/>
        </w:tblCellMar>
      </w:tblPr>
      <w:tblGrid>
        <w:gridCol w:w="2735"/>
        <w:gridCol w:w="60"/>
        <w:gridCol w:w="153"/>
        <w:gridCol w:w="615"/>
        <w:gridCol w:w="65"/>
        <w:gridCol w:w="65"/>
        <w:gridCol w:w="153"/>
        <w:gridCol w:w="615"/>
        <w:gridCol w:w="153"/>
        <w:gridCol w:w="65"/>
        <w:gridCol w:w="153"/>
        <w:gridCol w:w="615"/>
        <w:gridCol w:w="75"/>
      </w:tblGrid>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5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68" w:type="dxa"/>
            <w:gridSpan w:val="2"/>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68" w:type="dxa"/>
            <w:gridSpan w:val="2"/>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6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Payroll and related expenses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15" w:type="dxa"/>
            <w:tcBorders/>
            <w:shd w:fill="CCEEFF" w:val="clear"/>
            <w:vAlign w:val="center"/>
          </w:tcPr>
          <w:p>
            <w:pPr>
              <w:pStyle w:val="TableContents"/>
              <w:bidi w:val="0"/>
              <w:spacing w:before="0" w:after="283"/>
              <w:jc w:val="right"/>
              <w:rPr/>
            </w:pPr>
            <w:r>
              <w:rPr/>
              <w:t>1,815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15" w:type="dxa"/>
            <w:tcBorders/>
            <w:shd w:fill="CCEEFF" w:val="clear"/>
            <w:vAlign w:val="center"/>
          </w:tcPr>
          <w:p>
            <w:pPr>
              <w:pStyle w:val="TableContents"/>
              <w:bidi w:val="0"/>
              <w:spacing w:before="0" w:after="283"/>
              <w:jc w:val="right"/>
              <w:rPr/>
            </w:pPr>
            <w:r>
              <w:rPr/>
              <w:t>1,845</w:t>
            </w:r>
          </w:p>
        </w:tc>
        <w:tc>
          <w:tcPr>
            <w:tcW w:w="1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15" w:type="dxa"/>
            <w:tcBorders/>
            <w:shd w:fill="CCEEFF" w:val="clear"/>
            <w:vAlign w:val="center"/>
          </w:tcPr>
          <w:p>
            <w:pPr>
              <w:pStyle w:val="TableContents"/>
              <w:bidi w:val="0"/>
              <w:spacing w:before="0" w:after="283"/>
              <w:jc w:val="right"/>
              <w:rPr/>
            </w:pPr>
            <w:r>
              <w:rPr/>
              <w:t>1,508</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Share-based payment</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212</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323</w:t>
            </w:r>
          </w:p>
        </w:tc>
        <w:tc>
          <w:tcPr>
            <w:tcW w:w="15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411</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1,635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1,451</w:t>
            </w:r>
          </w:p>
        </w:tc>
        <w:tc>
          <w:tcPr>
            <w:tcW w:w="1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1,133</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Travel expenses</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61</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115</w:t>
            </w:r>
          </w:p>
        </w:tc>
        <w:tc>
          <w:tcPr>
            <w:tcW w:w="15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Rent and office maintenance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139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118</w:t>
            </w:r>
          </w:p>
        </w:tc>
        <w:tc>
          <w:tcPr>
            <w:tcW w:w="1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130</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Depreciation</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20</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20</w:t>
            </w:r>
          </w:p>
        </w:tc>
        <w:tc>
          <w:tcPr>
            <w:tcW w:w="15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both"/>
              <w:rPr/>
            </w:pPr>
            <w:r>
              <w:rPr/>
              <w:t>Marketing and others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5"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5" w:type="dxa"/>
            <w:tcBorders>
              <w:bottom w:val="single" w:sz="12" w:space="0" w:color="000000"/>
            </w:tcBorders>
            <w:shd w:fill="CCEEFF" w:val="clear"/>
            <w:tcMar>
              <w:bottom w:w="28" w:type="dxa"/>
            </w:tcMar>
            <w:vAlign w:val="center"/>
          </w:tcPr>
          <w:p>
            <w:pPr>
              <w:pStyle w:val="TableContents"/>
              <w:bidi w:val="0"/>
              <w:spacing w:before="0" w:after="283"/>
              <w:jc w:val="right"/>
              <w:rPr/>
            </w:pPr>
            <w:r>
              <w:rPr/>
              <w:t>393</w:t>
            </w:r>
          </w:p>
        </w:tc>
        <w:tc>
          <w:tcPr>
            <w:tcW w:w="15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5"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w:t>
            </w:r>
          </w:p>
        </w:tc>
        <w:tc>
          <w:tcPr>
            <w:tcW w:w="615" w:type="dxa"/>
            <w:tcBorders>
              <w:bottom w:val="double" w:sz="10" w:space="0" w:color="000000"/>
            </w:tcBorders>
            <w:tcMar>
              <w:bottom w:w="28" w:type="dxa"/>
            </w:tcMar>
            <w:vAlign w:val="center"/>
          </w:tcPr>
          <w:p>
            <w:pPr>
              <w:pStyle w:val="TableContents"/>
              <w:bidi w:val="0"/>
              <w:spacing w:before="0" w:after="283"/>
              <w:jc w:val="right"/>
              <w:rPr/>
            </w:pPr>
            <w:r>
              <w:rPr/>
              <w:t>4,339</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 </w:t>
            </w:r>
          </w:p>
        </w:tc>
        <w:tc>
          <w:tcPr>
            <w:tcW w:w="615" w:type="dxa"/>
            <w:tcBorders>
              <w:bottom w:val="double" w:sz="10" w:space="0" w:color="000000"/>
            </w:tcBorders>
            <w:tcMar>
              <w:bottom w:w="28" w:type="dxa"/>
            </w:tcMar>
            <w:vAlign w:val="center"/>
          </w:tcPr>
          <w:p>
            <w:pPr>
              <w:pStyle w:val="TableContents"/>
              <w:bidi w:val="0"/>
              <w:spacing w:before="0" w:after="283"/>
              <w:jc w:val="right"/>
              <w:rPr/>
            </w:pPr>
            <w:r>
              <w:rPr/>
              <w:t>4,265</w:t>
            </w:r>
          </w:p>
        </w:tc>
        <w:tc>
          <w:tcPr>
            <w:tcW w:w="153" w:type="dxa"/>
            <w:tcBorders/>
            <w:vAlign w:val="center"/>
          </w:tcPr>
          <w:p>
            <w:pPr>
              <w:pStyle w:val="TableContents"/>
              <w:bidi w:val="0"/>
              <w:spacing w:before="0" w:after="283"/>
              <w:jc w:val="left"/>
              <w:rPr/>
            </w:pPr>
            <w:r>
              <w:rPr/>
              <w:t>$</w:t>
            </w:r>
          </w:p>
        </w:tc>
        <w:tc>
          <w:tcPr>
            <w:tcW w:w="65" w:type="dxa"/>
            <w:tcBorders/>
            <w:vAlign w:val="center"/>
          </w:tcPr>
          <w:p>
            <w:pPr>
              <w:pStyle w:val="TableContents"/>
              <w:bidi w:val="0"/>
              <w:spacing w:before="0" w:after="283"/>
              <w:jc w:val="left"/>
              <w:rPr/>
            </w:pPr>
            <w:r>
              <w:rPr/>
              <w:t> </w:t>
            </w:r>
          </w:p>
        </w:tc>
        <w:tc>
          <w:tcPr>
            <w:tcW w:w="153" w:type="dxa"/>
            <w:tcBorders>
              <w:bottom w:val="double" w:sz="10" w:space="0" w:color="000000"/>
            </w:tcBorders>
            <w:tcMar>
              <w:bottom w:w="28" w:type="dxa"/>
            </w:tcMar>
            <w:vAlign w:val="center"/>
          </w:tcPr>
          <w:p>
            <w:pPr>
              <w:pStyle w:val="TableContents"/>
              <w:bidi w:val="0"/>
              <w:spacing w:before="0" w:after="283"/>
              <w:jc w:val="left"/>
              <w:rPr/>
            </w:pPr>
            <w:r>
              <w:rPr/>
              <w:t>$</w:t>
            </w:r>
          </w:p>
        </w:tc>
        <w:tc>
          <w:tcPr>
            <w:tcW w:w="615" w:type="dxa"/>
            <w:tcBorders>
              <w:bottom w:val="double" w:sz="10" w:space="0" w:color="000000"/>
            </w:tcBorders>
            <w:tcMar>
              <w:bottom w:w="28" w:type="dxa"/>
            </w:tcMar>
            <w:vAlign w:val="center"/>
          </w:tcPr>
          <w:p>
            <w:pPr>
              <w:pStyle w:val="TableContents"/>
              <w:bidi w:val="0"/>
              <w:spacing w:before="0" w:after="283"/>
              <w:jc w:val="right"/>
              <w:rPr/>
            </w:pPr>
            <w:r>
              <w:rPr/>
              <w:t>3,316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left"/>
              <w:rPr>
                <w:b/>
              </w:rPr>
            </w:pPr>
            <w:r>
              <w:rPr>
                <w:b/>
              </w:rPr>
              <w:t xml:space="preserve">Rail Vision Ltd. </w:t>
            </w:r>
          </w:p>
        </w:tc>
      </w:tr>
      <w:tr>
        <w:trPr/>
        <w:tc>
          <w:tcPr>
            <w:tcW w:w="5630" w:type="dxa"/>
            <w:tcBorders/>
            <w:vAlign w:val="center"/>
          </w:tcPr>
          <w:p>
            <w:pPr>
              <w:pStyle w:val="TableContents"/>
              <w:bidi w:val="0"/>
              <w:spacing w:before="0" w:after="283"/>
              <w:jc w:val="left"/>
              <w:rPr>
                <w:b/>
              </w:rPr>
            </w:pPr>
            <w:r>
              <w:rPr>
                <w:b/>
              </w:rPr>
              <w:t>Notes to Financial Statements</w:t>
            </w:r>
          </w:p>
        </w:tc>
      </w:tr>
      <w:tr>
        <w:trPr/>
        <w:tc>
          <w:tcPr>
            <w:tcW w:w="5630" w:type="dxa"/>
            <w:tcBorders>
              <w:bottom w:val="single" w:sz="12" w:space="0" w:color="000000"/>
            </w:tcBorders>
            <w:tcMar>
              <w:bottom w:w="28" w:type="dxa"/>
            </w:tcMar>
            <w:vAlign w:val="center"/>
          </w:tcPr>
          <w:p>
            <w:pPr>
              <w:pStyle w:val="TableContents"/>
              <w:bidi w:val="0"/>
              <w:spacing w:before="0" w:after="283"/>
              <w:jc w:val="left"/>
              <w:rPr/>
            </w:pPr>
            <w:r>
              <w:rPr/>
              <w:t>(U.S. dollars in thousands, except share and per share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TAXES ON INCOME</w:t>
      </w:r>
    </w:p>
    <w:p>
      <w:pPr>
        <w:pStyle w:val="TextBody"/>
        <w:bidi w:val="0"/>
        <w:spacing w:before="0" w:after="0"/>
        <w:ind w:left="1701" w:right="0" w:hanging="567"/>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26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5990" w:type="dxa"/>
            <w:tcBorders/>
            <w:vAlign w:val="center"/>
          </w:tcPr>
          <w:p>
            <w:pPr>
              <w:pStyle w:val="TableContents"/>
              <w:bidi w:val="0"/>
              <w:spacing w:before="0" w:after="283"/>
              <w:jc w:val="both"/>
              <w:rPr/>
            </w:pPr>
            <w:r>
              <w:rPr/>
              <w:t>The Company is subject to income taxes under Israeli tax laws:</w:t>
            </w:r>
          </w:p>
        </w:tc>
      </w:tr>
    </w:tbl>
    <w:p>
      <w:pPr>
        <w:pStyle w:val="TextBody"/>
        <w:bidi w:val="0"/>
        <w:spacing w:before="0" w:after="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20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050" w:type="dxa"/>
            <w:tcBorders/>
            <w:vAlign w:val="center"/>
          </w:tcPr>
          <w:p>
            <w:pPr>
              <w:pStyle w:val="TableContents"/>
              <w:bidi w:val="0"/>
              <w:spacing w:before="0" w:after="283"/>
              <w:jc w:val="both"/>
              <w:rPr/>
            </w:pPr>
            <w:r>
              <w:rPr/>
              <w:t>The Israeli corporate tax rate was 23% in 2023, 2022 and 2021.</w:t>
            </w:r>
          </w:p>
        </w:tc>
      </w:tr>
    </w:tbl>
    <w:p>
      <w:pPr>
        <w:pStyle w:val="TextBody"/>
        <w:bidi w:val="0"/>
        <w:spacing w:before="0" w:after="0"/>
        <w:ind w:left="206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2.</w:t>
            </w:r>
          </w:p>
        </w:tc>
        <w:tc>
          <w:tcPr>
            <w:tcW w:w="9998" w:type="dxa"/>
            <w:tcBorders/>
            <w:vAlign w:val="center"/>
          </w:tcPr>
          <w:p>
            <w:pPr>
              <w:pStyle w:val="TableContents"/>
              <w:bidi w:val="0"/>
              <w:spacing w:before="0" w:after="283"/>
              <w:jc w:val="both"/>
              <w:rPr/>
            </w:pPr>
            <w:r>
              <w:rPr/>
              <w:t>As of December 31, 2023, the Company generated net operating losses of approximately $54,237, which may be carried forward and offset against taxable income in the future for an indefinite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3.</w:t>
            </w:r>
          </w:p>
        </w:tc>
        <w:tc>
          <w:tcPr>
            <w:tcW w:w="10010" w:type="dxa"/>
            <w:tcBorders/>
            <w:vAlign w:val="center"/>
          </w:tcPr>
          <w:p>
            <w:pPr>
              <w:pStyle w:val="TableContents"/>
              <w:bidi w:val="0"/>
              <w:spacing w:before="0" w:after="283"/>
              <w:jc w:val="both"/>
              <w:rPr/>
            </w:pPr>
            <w:r>
              <w:rPr/>
              <w:t>The Company is still in its development stage and has not yet generated revenues. Therefore, it is more likely than not that sufficient taxable income will not be available for the tax losses to be utilized in the foreseeable future. Therefore, a valuation allowance was recorded to cover the entire balance of the deferred tax assets.</w:t>
            </w:r>
          </w:p>
        </w:tc>
      </w:tr>
    </w:tbl>
    <w:p>
      <w:pPr>
        <w:pStyle w:val="TextBody"/>
        <w:bidi w:val="0"/>
        <w:spacing w:before="0" w:after="0"/>
        <w:ind w:left="2061" w:right="0" w:hanging="0"/>
        <w:jc w:val="both"/>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3965"/>
        <w:gridCol w:w="60"/>
        <w:gridCol w:w="140"/>
        <w:gridCol w:w="755"/>
        <w:gridCol w:w="95"/>
        <w:gridCol w:w="60"/>
        <w:gridCol w:w="140"/>
        <w:gridCol w:w="635"/>
        <w:gridCol w:w="110"/>
      </w:tblGrid>
      <w:tr>
        <w:trPr/>
        <w:tc>
          <w:tcPr>
            <w:tcW w:w="39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b/>
              </w:rPr>
            </w:pPr>
            <w:r>
              <w:rPr>
                <w:b/>
              </w:rPr>
              <w:t>Deferred tax assets:</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Deferred taxes due to carryforward losses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9,843</w:t>
            </w:r>
          </w:p>
        </w:tc>
        <w:tc>
          <w:tcPr>
            <w:tcW w:w="11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both"/>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(12,474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(9,843</w:t>
            </w:r>
          </w:p>
        </w:tc>
        <w:tc>
          <w:tcPr>
            <w:tcW w:w="110" w:type="dxa"/>
            <w:tcBorders/>
            <w:shd w:fill="CCEEFF" w:val="clear"/>
            <w:vAlign w:val="center"/>
          </w:tcPr>
          <w:p>
            <w:pPr>
              <w:pStyle w:val="TableContents"/>
              <w:bidi w:val="0"/>
              <w:spacing w:before="0" w:after="283"/>
              <w:jc w:val="left"/>
              <w:rPr/>
            </w:pPr>
            <w:r>
              <w:rPr/>
              <w:t>)</w:t>
            </w:r>
          </w:p>
        </w:tc>
      </w:tr>
      <w:tr>
        <w:trPr/>
        <w:tc>
          <w:tcPr>
            <w:tcW w:w="3965" w:type="dxa"/>
            <w:tcBorders/>
            <w:vAlign w:val="center"/>
          </w:tcPr>
          <w:p>
            <w:pPr>
              <w:pStyle w:val="TableContents"/>
              <w:bidi w:val="0"/>
              <w:spacing w:before="0" w:after="283"/>
              <w:jc w:val="both"/>
              <w:rPr/>
            </w:pPr>
            <w:r>
              <w:rPr/>
              <w:t>Income tax expenses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2061" w:right="0" w:hanging="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0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7220" w:type="dxa"/>
            <w:tcBorders/>
            <w:vAlign w:val="center"/>
          </w:tcPr>
          <w:p>
            <w:pPr>
              <w:pStyle w:val="TableContents"/>
              <w:bidi w:val="0"/>
              <w:spacing w:before="0" w:after="283"/>
              <w:jc w:val="both"/>
              <w:rPr/>
            </w:pPr>
            <w:r>
              <w:rPr/>
              <w:t>The Company has no uncertain tax positions and foreign sources of income.</w:t>
            </w:r>
          </w:p>
        </w:tc>
      </w:tr>
    </w:tbl>
    <w:p>
      <w:pPr>
        <w:pStyle w:val="TextBody"/>
        <w:bidi w:val="0"/>
        <w:spacing w:before="0" w:after="0"/>
        <w:ind w:left="2061"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TRANSACTIONS AND BALANCES WITH RELATED PARTIES</w:t>
      </w:r>
    </w:p>
    <w:p>
      <w:pPr>
        <w:pStyle w:val="TextBody"/>
        <w:bidi w:val="0"/>
        <w:spacing w:before="0" w:after="0"/>
        <w:ind w:left="1134" w:right="0" w:firstLine="56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w:t>
      </w:r>
    </w:p>
    <w:p>
      <w:pPr>
        <w:pStyle w:val="TextBody"/>
        <w:bidi w:val="0"/>
        <w:spacing w:before="0" w:after="0"/>
        <w:ind w:left="1134" w:right="0" w:hanging="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26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1430" w:type="dxa"/>
            <w:tcBorders/>
            <w:vAlign w:val="center"/>
          </w:tcPr>
          <w:p>
            <w:pPr>
              <w:pStyle w:val="TableContents"/>
              <w:bidi w:val="0"/>
              <w:spacing w:before="0" w:after="283"/>
              <w:jc w:val="both"/>
              <w:rPr>
                <w:b/>
              </w:rPr>
            </w:pPr>
            <w:r>
              <w:rPr>
                <w:b/>
              </w:rPr>
              <w:t>Transactions:</w:t>
            </w:r>
          </w:p>
        </w:tc>
      </w:tr>
    </w:tbl>
    <w:p>
      <w:pPr>
        <w:pStyle w:val="TextBody"/>
        <w:bidi w:val="0"/>
        <w:spacing w:before="0" w:after="283"/>
        <w:jc w:val="left"/>
        <w:rPr/>
      </w:pPr>
      <w:r>
        <w:rPr/>
        <w:t> </w:t>
      </w:r>
    </w:p>
    <w:tbl>
      <w:tblPr>
        <w:tblW w:w="6606" w:type="dxa"/>
        <w:jc w:val="left"/>
        <w:tblInd w:w="0" w:type="dxa"/>
        <w:tblLayout w:type="fixed"/>
        <w:tblCellMar>
          <w:top w:w="0" w:type="dxa"/>
          <w:left w:w="0" w:type="dxa"/>
          <w:bottom w:w="0" w:type="dxa"/>
          <w:right w:w="0" w:type="dxa"/>
        </w:tblCellMar>
      </w:tblPr>
      <w:tblGrid>
        <w:gridCol w:w="3815"/>
        <w:gridCol w:w="60"/>
        <w:gridCol w:w="221"/>
        <w:gridCol w:w="411"/>
        <w:gridCol w:w="95"/>
        <w:gridCol w:w="95"/>
        <w:gridCol w:w="221"/>
        <w:gridCol w:w="601"/>
        <w:gridCol w:w="95"/>
        <w:gridCol w:w="95"/>
        <w:gridCol w:w="221"/>
        <w:gridCol w:w="601"/>
        <w:gridCol w:w="75"/>
      </w:tblGrid>
      <w:tr>
        <w:trPr/>
        <w:tc>
          <w:tcPr>
            <w:tcW w:w="38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5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32"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601" w:type="dxa"/>
            <w:tcBorders/>
            <w:shd w:fill="CCEEFF" w:val="clear"/>
            <w:vAlign w:val="center"/>
          </w:tcPr>
          <w:p>
            <w:pPr>
              <w:pStyle w:val="TableContents"/>
              <w:bidi w:val="0"/>
              <w:spacing w:before="0" w:after="283"/>
              <w:jc w:val="right"/>
              <w:rPr/>
            </w:pPr>
            <w:r>
              <w:rPr/>
              <w:t>888</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both"/>
              <w:rPr/>
            </w:pPr>
            <w:r>
              <w:rPr/>
              <w:t>General and administrative expenses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411" w:type="dxa"/>
            <w:tcBorders/>
            <w:vAlign w:val="center"/>
          </w:tcPr>
          <w:p>
            <w:pPr>
              <w:pStyle w:val="TableContents"/>
              <w:bidi w:val="0"/>
              <w:spacing w:before="0" w:after="283"/>
              <w:jc w:val="right"/>
              <w:rPr/>
            </w:pPr>
            <w:r>
              <w:rPr/>
              <w:t>22</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601" w:type="dxa"/>
            <w:tcBorders/>
            <w:vAlign w:val="center"/>
          </w:tcPr>
          <w:p>
            <w:pPr>
              <w:pStyle w:val="TableContents"/>
              <w:bidi w:val="0"/>
              <w:spacing w:before="0" w:after="283"/>
              <w:jc w:val="right"/>
              <w:rPr/>
            </w:pPr>
            <w:r>
              <w:rPr/>
              <w:t>147</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68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b/>
              </w:rPr>
            </w:pPr>
            <w:r>
              <w:rPr>
                <w:b/>
              </w:rPr>
              <w:t>(*)</w:t>
            </w:r>
          </w:p>
        </w:tc>
        <w:tc>
          <w:tcPr>
            <w:tcW w:w="9966" w:type="dxa"/>
            <w:tcBorders/>
            <w:vAlign w:val="center"/>
          </w:tcPr>
          <w:p>
            <w:pPr>
              <w:pStyle w:val="TableContents"/>
              <w:bidi w:val="0"/>
              <w:spacing w:before="0" w:after="283"/>
              <w:jc w:val="both"/>
              <w:rPr/>
            </w:pPr>
            <w:r>
              <w:rPr/>
              <w:t>In 2023, one time bonus in the amount of $22 to CEO. In 2022, one time IPO bonus in the amount of $97 and $50 to the Company’s CEO and its former chairman,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245"/>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1010" w:type="dxa"/>
            <w:tcBorders/>
            <w:vAlign w:val="center"/>
          </w:tcPr>
          <w:p>
            <w:pPr>
              <w:pStyle w:val="TableContents"/>
              <w:bidi w:val="0"/>
              <w:spacing w:before="0" w:after="283"/>
              <w:jc w:val="both"/>
              <w:rPr>
                <w:b/>
              </w:rPr>
            </w:pPr>
            <w:r>
              <w:rPr>
                <w:b/>
              </w:rPr>
              <w:t>Balances:</w:t>
            </w:r>
          </w:p>
        </w:tc>
      </w:tr>
    </w:tbl>
    <w:p>
      <w:pPr>
        <w:pStyle w:val="TextBody"/>
        <w:bidi w:val="0"/>
        <w:spacing w:before="0" w:after="283"/>
        <w:jc w:val="left"/>
        <w:rPr/>
      </w:pPr>
      <w:r>
        <w:rPr/>
        <w:t> </w:t>
      </w:r>
    </w:p>
    <w:tbl>
      <w:tblPr>
        <w:tblW w:w="3598" w:type="dxa"/>
        <w:jc w:val="left"/>
        <w:tblInd w:w="0" w:type="dxa"/>
        <w:tblLayout w:type="fixed"/>
        <w:tblCellMar>
          <w:top w:w="0" w:type="dxa"/>
          <w:left w:w="0" w:type="dxa"/>
          <w:bottom w:w="0" w:type="dxa"/>
          <w:right w:w="0" w:type="dxa"/>
        </w:tblCellMar>
      </w:tblPr>
      <w:tblGrid>
        <w:gridCol w:w="1895"/>
        <w:gridCol w:w="60"/>
        <w:gridCol w:w="192"/>
        <w:gridCol w:w="308"/>
        <w:gridCol w:w="122"/>
        <w:gridCol w:w="122"/>
        <w:gridCol w:w="286"/>
        <w:gridCol w:w="538"/>
        <w:gridCol w:w="75"/>
      </w:tblGrid>
      <w:tr>
        <w:trPr/>
        <w:tc>
          <w:tcPr>
            <w:tcW w:w="18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82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both"/>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0"/>
              <w:jc w:val="right"/>
              <w:rPr/>
            </w:pPr>
            <w:r>
              <w:rPr/>
              <w:t>--</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538" w:type="dxa"/>
            <w:tcBorders/>
            <w:shd w:fill="CCEEFF" w:val="clear"/>
            <w:vAlign w:val="center"/>
          </w:tcPr>
          <w:p>
            <w:pPr>
              <w:pStyle w:val="TableContents"/>
              <w:bidi w:val="0"/>
              <w:spacing w:before="0" w:after="283"/>
              <w:jc w:val="right"/>
              <w:rPr/>
            </w:pPr>
            <w:r>
              <w:rPr/>
              <w:t>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left"/>
              <w:rPr>
                <w:b/>
              </w:rPr>
            </w:pPr>
            <w:r>
              <w:rPr>
                <w:b/>
              </w:rPr>
              <w:t xml:space="preserve">Rail Vision Ltd. </w:t>
            </w:r>
          </w:p>
        </w:tc>
      </w:tr>
      <w:tr>
        <w:trPr/>
        <w:tc>
          <w:tcPr>
            <w:tcW w:w="5630" w:type="dxa"/>
            <w:tcBorders/>
            <w:vAlign w:val="center"/>
          </w:tcPr>
          <w:p>
            <w:pPr>
              <w:pStyle w:val="TableContents"/>
              <w:bidi w:val="0"/>
              <w:spacing w:before="0" w:after="283"/>
              <w:jc w:val="left"/>
              <w:rPr>
                <w:b/>
              </w:rPr>
            </w:pPr>
            <w:r>
              <w:rPr>
                <w:b/>
              </w:rPr>
              <w:t>Notes to Financial Statements</w:t>
            </w:r>
          </w:p>
        </w:tc>
      </w:tr>
      <w:tr>
        <w:trPr/>
        <w:tc>
          <w:tcPr>
            <w:tcW w:w="5630" w:type="dxa"/>
            <w:tcBorders>
              <w:bottom w:val="single" w:sz="12" w:space="0" w:color="000000"/>
            </w:tcBorders>
            <w:tcMar>
              <w:bottom w:w="28" w:type="dxa"/>
            </w:tcMar>
            <w:vAlign w:val="center"/>
          </w:tcPr>
          <w:p>
            <w:pPr>
              <w:pStyle w:val="TableContents"/>
              <w:bidi w:val="0"/>
              <w:spacing w:before="0" w:after="283"/>
              <w:jc w:val="left"/>
              <w:rPr/>
            </w:pPr>
            <w:r>
              <w:rPr/>
              <w:t>(U.S. dollars in thousands, except share and per share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2021, the Company signed an amendment to the lease of the Company’s offices in Raanana, Israel, according to which, instead of the additional lease period under the option in the lease, the Company extended the lease period for another five years beginning on September 9, 2021 (the date the current lease period ends) until September 8, 2026 (the “Lease Update”).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Lease Update, the monthly rent for the Company’s offices (excluding parking and management fees) are approximately NIS 79 thousand (approx. $25) in the first two years, NIS 82 thousand (approx. $26) in the third and fourth lease years and NIS 83 thousand (approx. $26) in the fifth year. All the amounts are linked to the Israeli Consumer Price Index.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Lease Update, the Company has an option to extend the lease period for another five years from September 9, 2026, to September 8, 2031, with a monthly rent of between NIS 96 thousand (approx. $30) and NIS 102 thousand (approx. $32) over the additional lease period linked with the Israeli Consumer Price Index.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the amendment, the Company updated its lease liability and right-of-use asset in a total amount of approx. $458, which reflects the expected lease term until September 8,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2022 and 2021, operating lease expenses recorded in the Statements of Comprehensive Loss were $375, $357 and $405,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lease payments under operating leases as of December 31, 2023 were as follows:</w:t>
      </w:r>
    </w:p>
    <w:p>
      <w:pPr>
        <w:pStyle w:val="TextBody"/>
        <w:bidi w:val="0"/>
        <w:spacing w:before="0" w:after="0"/>
        <w:ind w:left="1134" w:right="0" w:hanging="0"/>
        <w:jc w:val="both"/>
        <w:rPr>
          <w:caps w:val="false"/>
          <w:smallCaps w:val="false"/>
        </w:rPr>
      </w:pPr>
      <w:r>
        <w:rPr>
          <w:caps w:val="false"/>
          <w:smallCaps w:val="false"/>
        </w:rPr>
        <w:t> </w:t>
      </w:r>
    </w:p>
    <w:tbl>
      <w:tblPr>
        <w:tblW w:w="3300" w:type="dxa"/>
        <w:jc w:val="left"/>
        <w:tblInd w:w="0" w:type="dxa"/>
        <w:tblLayout w:type="fixed"/>
        <w:tblCellMar>
          <w:top w:w="0" w:type="dxa"/>
          <w:left w:w="0" w:type="dxa"/>
          <w:bottom w:w="0" w:type="dxa"/>
          <w:right w:w="0" w:type="dxa"/>
        </w:tblCellMar>
      </w:tblPr>
      <w:tblGrid>
        <w:gridCol w:w="2630"/>
        <w:gridCol w:w="60"/>
        <w:gridCol w:w="60"/>
        <w:gridCol w:w="60"/>
        <w:gridCol w:w="380"/>
        <w:gridCol w:w="110"/>
      </w:tblGrid>
      <w:tr>
        <w:trPr/>
        <w:tc>
          <w:tcPr>
            <w:tcW w:w="2630"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313</w:t>
            </w:r>
          </w:p>
        </w:tc>
        <w:tc>
          <w:tcPr>
            <w:tcW w:w="11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317</w:t>
            </w:r>
          </w:p>
        </w:tc>
        <w:tc>
          <w:tcPr>
            <w:tcW w:w="11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219</w:t>
            </w:r>
          </w:p>
        </w:tc>
        <w:tc>
          <w:tcPr>
            <w:tcW w:w="11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future lease payments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849</w:t>
            </w:r>
          </w:p>
        </w:tc>
        <w:tc>
          <w:tcPr>
            <w:tcW w:w="11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w:t>
            </w:r>
          </w:p>
        </w:tc>
      </w:tr>
      <w:tr>
        <w:trPr/>
        <w:tc>
          <w:tcPr>
            <w:tcW w:w="2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liability 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tcMar>
              <w:bottom w:w="28" w:type="dxa"/>
            </w:tcMar>
            <w:vAlign w:val="center"/>
          </w:tcPr>
          <w:p>
            <w:pPr>
              <w:pStyle w:val="TableContents"/>
              <w:bidi w:val="0"/>
              <w:spacing w:before="0" w:after="283"/>
              <w:jc w:val="right"/>
              <w:rPr/>
            </w:pPr>
            <w:r>
              <w:rPr/>
              <w:t>809</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lease term and weighted average discount rate as of December 31, 2023 was as follows:</w:t>
      </w:r>
    </w:p>
    <w:p>
      <w:pPr>
        <w:pStyle w:val="TextBody"/>
        <w:bidi w:val="0"/>
        <w:spacing w:before="0" w:after="0"/>
        <w:ind w:left="1134" w:right="0" w:hanging="0"/>
        <w:jc w:val="both"/>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6275"/>
        <w:gridCol w:w="60"/>
        <w:gridCol w:w="60"/>
        <w:gridCol w:w="320"/>
        <w:gridCol w:w="230"/>
      </w:tblGrid>
      <w:tr>
        <w:trPr/>
        <w:tc>
          <w:tcPr>
            <w:tcW w:w="6275" w:type="dxa"/>
            <w:tcBorders/>
            <w:shd w:fill="CCEEFF" w:val="clear"/>
            <w:vAlign w:val="center"/>
          </w:tcPr>
          <w:p>
            <w:pPr>
              <w:pStyle w:val="TableContents"/>
              <w:bidi w:val="0"/>
              <w:spacing w:before="0" w:after="283"/>
              <w:jc w:val="left"/>
              <w:rPr/>
            </w:pPr>
            <w:r>
              <w:rPr/>
              <w:t>Operating leases 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2.7</w:t>
            </w:r>
          </w:p>
        </w:tc>
        <w:tc>
          <w:tcPr>
            <w:tcW w:w="230" w:type="dxa"/>
            <w:tcBorders/>
            <w:shd w:fill="CCEEFF" w:val="clear"/>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Operating leases weighted average discount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5.1</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left"/>
              <w:rPr>
                <w:b/>
              </w:rPr>
            </w:pPr>
            <w:r>
              <w:rPr>
                <w:b/>
              </w:rPr>
              <w:t xml:space="preserve">Rail Vision Ltd. </w:t>
            </w:r>
          </w:p>
        </w:tc>
      </w:tr>
      <w:tr>
        <w:trPr/>
        <w:tc>
          <w:tcPr>
            <w:tcW w:w="5630" w:type="dxa"/>
            <w:tcBorders/>
            <w:vAlign w:val="center"/>
          </w:tcPr>
          <w:p>
            <w:pPr>
              <w:pStyle w:val="TableContents"/>
              <w:bidi w:val="0"/>
              <w:spacing w:before="0" w:after="283"/>
              <w:jc w:val="left"/>
              <w:rPr>
                <w:b/>
              </w:rPr>
            </w:pPr>
            <w:r>
              <w:rPr>
                <w:b/>
              </w:rPr>
              <w:t>Notes to Financial Statements</w:t>
            </w:r>
          </w:p>
        </w:tc>
      </w:tr>
      <w:tr>
        <w:trPr/>
        <w:tc>
          <w:tcPr>
            <w:tcW w:w="5630" w:type="dxa"/>
            <w:tcBorders>
              <w:bottom w:val="single" w:sz="12" w:space="0" w:color="000000"/>
            </w:tcBorders>
            <w:tcMar>
              <w:bottom w:w="28" w:type="dxa"/>
            </w:tcMar>
            <w:vAlign w:val="center"/>
          </w:tcPr>
          <w:p>
            <w:pPr>
              <w:pStyle w:val="TableContents"/>
              <w:bidi w:val="0"/>
              <w:spacing w:before="0" w:after="283"/>
              <w:jc w:val="left"/>
              <w:rPr/>
            </w:pPr>
            <w:r>
              <w:rPr/>
              <w:t>(U.S. dollars in thousands, except share and per share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15 - SUBSEQUENT EVENTS </w:t>
      </w:r>
    </w:p>
    <w:p>
      <w:pPr>
        <w:pStyle w:val="TextBody"/>
        <w:bidi w:val="0"/>
        <w:spacing w:before="0" w:after="0"/>
        <w:ind w:left="0" w:right="0" w:hanging="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26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7430" w:type="dxa"/>
            <w:tcBorders/>
            <w:vAlign w:val="center"/>
          </w:tcPr>
          <w:p>
            <w:pPr>
              <w:pStyle w:val="TableContents"/>
              <w:bidi w:val="0"/>
              <w:spacing w:before="0" w:after="283"/>
              <w:jc w:val="left"/>
              <w:rPr>
                <w:b/>
              </w:rPr>
            </w:pPr>
            <w:r>
              <w:rPr>
                <w:b/>
              </w:rPr>
              <w:t>Execution of Credit Facility Agreement and Issuance of Facility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9, 2024, the Company entered into the Facility Agreement for a $6,000 credit facility (the “Credit Facility”) and an additional amount up to $3,000, subject to certain conditions (the “Additional Loans”) with a global investment firm (the “Lender”).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which has an initial term of 10 months, accrues interest at a rate of 8% per annum, and the first payment of $1,500 was drawn down upon execution of the Facility Agreement and the remaining amount may be drawn down in eight equal installments as of March 7, 2024. As detailed below, the Facility Agreement terminated on March 1,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Credit Facility is exhausted, the Company may draw down the Additional Loans in an aggregate amount up to $3,000. The Additional Loans include two initial installments of up to $750, and two additional installments of up to $750, the latter of which are subject to certain conditions. The Additional Loans will accrue interest at a rate of 12%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enters into an alternate credit facility on more favorable terms, the Lender’s funding obligations under the Credit Facility shall decrease with respect to the amount actually received by the Company under such alternate credit facility. The Lender’s financing obligations shall terminate in the event the Company draws down $7,500 or more pursuant to an alternate credit facility or closes one or more equity financing transaction in an aggregate amount of at least $5,000. As of March 1, 2024, in connection with the January 2024 Private Placement, the Company has received aggregate gross proceeds of more than $5,000 from the purchase of Units and exercise of warrants (see Note 15C below), and accordingly the Lender’s financing obligations have been terminated.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Company closes one or more equity financing transactions in an aggregate amount of at least $5,000 (including the conversion of the Credit Facility), it has the right to convert an amount of up to $1,500 out of the outstanding loan (including accrued interest) into ordinary shares of the Company, in connection with and in the framework of a financing transaction of the Company on the date that follows the date upon which the Company notifies the Lender of such financing transaction, which conversion will occur upon the same terms. In connection with the January 2024 Private Placement, the Company has converted $500of the outstanding loan and issued to the Lender the Facility Conversion Pre-Funded Warrant and the Facility Conversion Common Warrant (see Note 15C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loan, together with accrued interest, must be repaid at a rate of 30% of the gross proceeds of any equity financing transactions consummated by the Company during the term of the Credit Facility, which meet a minimum threshold aggregate amount (initially, $5,000 and increasing by an additional $500 for each month during the term) until the loan is repaid in full. The repayment of the Credit Facility shall be on the last day of each calendar month during which the sources for repayment specified above were actually received by the Company. The loan may be prepaid early without any penalty.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Facility Agreement, the Company issued a warrant (the “Facility Warrant”) to the Lender to purchase 2,419,354 ordinary shares of the Company representing an aggregate exercise amount of $7,500, with a per share exercise price of $3.10, subject to certain adjustments and certain anti-dilution protection, representing a 150% premium of the closing share price of the Company’s ordinary shares on January 5, 2024. The Facility Warrant was exercisable upon issuance and has a term of 5 years from the date of issuance. The January 2024 Private Placement detailed in Note 15C below, triggered an anti-dilution protection and accordingly the exercise price of the Facility Warrant was adjusted to $0.408 and the amount of ordinary shares issuable upon the exercise of the Facility Warrant was adjusted to 18,382,353 shares. As of the date of these financial statements, 920,000 January 2024 Facility Warrants have been exercised resulting in gross proceeds of approximately $375 to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sz w:val="20"/>
              </w:rPr>
            </w:pPr>
            <w:r>
              <w:rPr>
                <w:b/>
                <w:sz w:val="20"/>
              </w:rPr>
              <w:t>B.</w:t>
            </w:r>
          </w:p>
        </w:tc>
        <w:tc>
          <w:tcPr>
            <w:tcW w:w="9967" w:type="dxa"/>
            <w:tcBorders/>
            <w:vAlign w:val="center"/>
          </w:tcPr>
          <w:p>
            <w:pPr>
              <w:pStyle w:val="TableContents"/>
              <w:bidi w:val="0"/>
              <w:spacing w:before="0" w:after="283"/>
              <w:jc w:val="both"/>
              <w:rPr>
                <w:b/>
              </w:rPr>
            </w:pPr>
            <w:r>
              <w:rPr>
                <w:b/>
              </w:rPr>
              <w:t>A Leading US-Based Rail &amp; Leasing Services Company Orders Rail Vision Switch Yard Systems Valued at Up to $5 Million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2024 a leading US-based rail and leasing services company signed a supply contract with the Company for the purchase of the Company’s Switch Yard Systems.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phase of the contract is valued at $1,000. Follow-on orders for additional Switch Yard Systems, valued at up to $4,000, are subject to customer approval. The contract also includes specific purchase quotas that, if met, provide the customer with exclusivity in the North American industrial railyards switching segment.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283"/>
              <w:jc w:val="left"/>
              <w:rPr>
                <w:b/>
              </w:rPr>
            </w:pPr>
            <w:r>
              <w:rPr>
                <w:b/>
              </w:rPr>
              <w:t xml:space="preserve">Rail Vision Ltd. </w:t>
            </w:r>
          </w:p>
        </w:tc>
      </w:tr>
      <w:tr>
        <w:trPr/>
        <w:tc>
          <w:tcPr>
            <w:tcW w:w="5630" w:type="dxa"/>
            <w:tcBorders/>
            <w:vAlign w:val="center"/>
          </w:tcPr>
          <w:p>
            <w:pPr>
              <w:pStyle w:val="TableContents"/>
              <w:bidi w:val="0"/>
              <w:spacing w:before="0" w:after="283"/>
              <w:jc w:val="left"/>
              <w:rPr>
                <w:b/>
              </w:rPr>
            </w:pPr>
            <w:r>
              <w:rPr>
                <w:b/>
              </w:rPr>
              <w:t>Notes to Financial Statements</w:t>
            </w:r>
          </w:p>
        </w:tc>
      </w:tr>
      <w:tr>
        <w:trPr/>
        <w:tc>
          <w:tcPr>
            <w:tcW w:w="5630" w:type="dxa"/>
            <w:tcBorders>
              <w:bottom w:val="single" w:sz="12" w:space="0" w:color="000000"/>
            </w:tcBorders>
            <w:tcMar>
              <w:bottom w:w="28" w:type="dxa"/>
            </w:tcMar>
            <w:vAlign w:val="center"/>
          </w:tcPr>
          <w:p>
            <w:pPr>
              <w:pStyle w:val="TableContents"/>
              <w:bidi w:val="0"/>
              <w:spacing w:before="0" w:after="283"/>
              <w:jc w:val="left"/>
              <w:rPr/>
            </w:pPr>
            <w:r>
              <w:rPr/>
              <w:t>(U.S. dollars in thousands, except share and per share data)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SUBSEQUENT EVENTS (Cont.)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9908" w:type="dxa"/>
            <w:tcBorders/>
            <w:vAlign w:val="center"/>
          </w:tcPr>
          <w:p>
            <w:pPr>
              <w:pStyle w:val="TableContents"/>
              <w:bidi w:val="0"/>
              <w:spacing w:before="0" w:after="283"/>
              <w:jc w:val="both"/>
              <w:rPr/>
            </w:pPr>
            <w:r>
              <w:rPr/>
              <w:t>On January 18, 2024, the Company entered into a binding term sheet directly with a global investment firm (the “Lead Investor”) for the purchase and sale in the January 2024 Private Placement of units (the “Units”) consisting of (i) one ordinary share of the Company and (ii) one and a half warrants to purchase ordinary shares of the Company to the Lead Investor and other investors (collectively, the “Investors”) of a minimum of $2,500 of Units and up to a maximum of $3,000 of Units. The January 2024 Private Placement closed on January 31, 2024 following the execution of definitive documentation between the Company and the Investors..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the Company entered into the definitive securities purchase agreement with the Investors for the purchase and sale of Units consisting of (A) (i) 1,651,458 of the Company’s ordinary shares, and/or (ii) pre-funded warrants (the “PIPE Pre-Funded Warrants”) to purchase up to 1,394,999 ordinary shares and (B) common warrants (the “PIPE Common Warrants”) to purchase up to 4,569,688 ordinary shares. The purchase price per Unit is $0.98475.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Pre-Funded Warrants are immediately exercisable at an exercise price of $0.0001 per ordinary share, subject to certain adjustments and certain anti-dilution protection set forth therein, and will not expire until exercised in full. The PIPE Common Warrants are exercisable upon issuance at an exercise price of $0.98475 per ordinary share, subject to certain adjustments and certain anti-dilution protection set forth therein, and will have a 5.5-year term from the issuance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gross proceeds to the Company from the January 2024 Private Placement was approximately $3,000 ($3,500 including the $500 converted as detailed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closing of the Private Placement, the Company exercised its conversion right pursuant to the Credit Facility to convert $500of the outstanding loan that was extended to the Company by the Lender of the Credit Facility. Following such conversion, the Company issued to the Lender (i) a pre-funded warrant (the “Facility Conversion Pre-Funded Warrant”) to purchase up to 507,743 ordinary shares and (ii) a common warrant (the “Facility Conversion Common Warrant”) to purchase up to 761,615 ordinary shares. The Facility Conversion Pre-Funded Warrant and the Facility Conversion Common Warrant are in substantially the same form and on substantially the same terms as the PIPE Pre-Funded Warrant and PIPE Common Warrant,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these financial statements 1,394,999 January 2024 PIPE Pre-Funded Warrants, 507,743 Facility Conversion Pre-Funded Warrant, 761,615 Facility Conversion Common Warrant and 4,269,688 January 2024 PIPE Warrants have been exercised resulting in gross proceeds of approximately $4,955 to the Company.</w:t>
      </w:r>
    </w:p>
    <w:p>
      <w:pPr>
        <w:pStyle w:val="TextBody"/>
        <w:bidi w:val="0"/>
        <w:spacing w:before="0" w:after="0"/>
        <w:ind w:left="58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9907" w:type="dxa"/>
            <w:tcBorders/>
            <w:vAlign w:val="center"/>
          </w:tcPr>
          <w:p>
            <w:pPr>
              <w:pStyle w:val="TableContents"/>
              <w:bidi w:val="0"/>
              <w:spacing w:before="0" w:after="283"/>
              <w:jc w:val="both"/>
              <w:rPr/>
            </w:pPr>
            <w:r>
              <w:rPr/>
              <w:t>On February 21, 2024, the Company convened an extraordinary general meeting of shareholders (the “Meeting”). At the Meeting, the shareholders of the Company approved (i) the cancelation of the nominal value of the Company’s registered and issued share capital; (ii) an increase of the Company’s registered share capital from 12,500,000 ordinary shares to 100,000,000 ordinary shares; and to amend the Company’s Amended and Restated Articles of Association accordingly.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E.</w:t>
            </w:r>
          </w:p>
        </w:tc>
        <w:tc>
          <w:tcPr>
            <w:tcW w:w="9922" w:type="dxa"/>
            <w:tcBorders/>
            <w:vAlign w:val="center"/>
          </w:tcPr>
          <w:p>
            <w:pPr>
              <w:pStyle w:val="TableContents"/>
              <w:bidi w:val="0"/>
              <w:spacing w:before="0" w:after="283"/>
              <w:jc w:val="both"/>
              <w:rPr/>
            </w:pPr>
            <w:r>
              <w:rPr/>
              <w:t>In January 2024, investors from the May 2023 private placement (see Note 9B(6) above) exercised 493,424 warrants to purchase ordinary shares on a cashless basis. As a result of the cashless exercises, the Company issued 181,002 ordinary shares to such investors.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F-26</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9" w:name="ea020258401ex2-1_railvision.htm"/>
      <w:bookmarkStart w:id="90" w:name="ksea020258401ex21_railvision"/>
      <w:bookmarkEnd w:id="89"/>
      <w:bookmarkEnd w:id="90"/>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herein summarize the material terms and provisions of the ordinary shares and warrants of Rail Vision Ltd. (the “Company”, “we”, “our” or “us”), registered under Section 12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27, 2024, our authorized share capital consisted of 100,000,000 ordinary shares, no par value, of which 12,334,780 ordinary shares were issued and outstanding as of such date. All of our outstanding ordinary shares have been validly issued, fully paid and non-assessable. Our ordinary shares are not redeemable and are not subject to any preemptive rights. All descriptions of our share capital set forth herein give effect to the reverse share split of our ordinary shares at the ratio of 8:1 that we effected on November 15, 2023, the cancellation of the nominal value of our registered and issued share capital, the increase of our registered share capital that we effected on February 21, 2024 and the customary adjustments to our outstanding options and warrants.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Attached to Shares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shall confer upon the holders thereof:</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right to attend and to vote at all of our general meetings, whether regular or special, with each ordinary share entitling the holder thereof, which attend the meeting and participate at the voting, either in person electronically or by a proxy or by a written ballot, to one vote;</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right to participate in distribution of dividends, if any, whether payable in cash or in bonus shares, in distribution of assets or in any other distribution, on a per share pro rata basis; 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equal right to participate, upon our dissolution, in the distribution of our assets legally available for distribution, on a per share pro rata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2022, our ordinary shares and warrants commenced trading on the Nasdaq Capital Market under the symbols “RVSN,” and “RVSNW,”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Articles of Association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that are fully paid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articles of association, shareholders are entitled to appoint a director to our board of directors for each 10% of our outstanding share capital that they own and in such case the appointment will be for an undefined period. Additional board members are elected at our shareholder’s annual meetings and in such case they shall serve on the board of directors until the next annual general meeting (except for external directors which will serve for up to three terms, each term of three years’ period). In addition, our amended and restated articles allow our board of directors to appoint directors to fill vacancies and/or as an addition to the board of directors (subject to the maximum number of directors) to serve until the next annual general meeting. All of the elected directors, other than external directors, may be re-elected for an unlimited number of terms upon completion of their then-current term of office. External directors are elected for an initial term of three years and may be removed from office pursuant to the terms of the Companies Law.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and Liquidation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confer upon the holders the right to receive notice to participate and vote in general meetings of shareholders of the Company, the right to receive dividends, if declared, and the right to participate in a distribution of the surplus of assets upon liquidation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and Special Meetings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we are required to hold an annual general meeting of our shareholders once every calendar year, at such time and place which shall be determined by our board of directors, that must be no later than 15 months after the date of the previous annual general meeting. All meetings other than the annual general meeting of shareholders are referred to as special general meetings. Our board of directors may call special meetings whenever it sees fit and upon the written request of: (a) any two of our directors or such number of directors equal to one quarter of the members of our board of directors; and/or (b) one or more shareholders holding, in the aggregate, either (i) 5% or more of our outstanding voting power or (ii) 5% or more of our outstanding issued shares and 1% of our outstanding voting power.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regarding the following matters must be passed at a general meeting of our shareholders: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our amended and restated articles of association;</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or termination of our auditors;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elected directors, including external directors;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acts and transactions requiring general meeting approval pursuant to the provisions of the Companies Law, its regulations and any other applicable law;</w:t>
            </w:r>
          </w:p>
        </w:tc>
      </w:tr>
    </w:tbl>
    <w:p>
      <w:pPr>
        <w:pStyle w:val="TextBody"/>
        <w:shd w:fill="FFFFFF" w:val="clear"/>
        <w:bidi w:val="0"/>
        <w:spacing w:before="0" w:after="0"/>
        <w:ind w:left="2160" w:right="0" w:hanging="72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or reductions of our authorized share capital; and</w:t>
            </w:r>
          </w:p>
        </w:tc>
      </w:tr>
    </w:tbl>
    <w:p>
      <w:pPr>
        <w:pStyle w:val="TextBody"/>
        <w:shd w:fill="FFFFFF" w:val="clear"/>
        <w:bidi w:val="0"/>
        <w:spacing w:before="0" w:after="0"/>
        <w:ind w:left="0" w:right="0" w:firstLine="72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(as such term is defined in the Companies Law).</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 Requirement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requires that a notice of any annual or special shareholders meeting be provided at least 21 days prior to the meeting, and if the agenda of the meeting includes, among other matters, the appointment or removal of directors, the approval of transactions with office holders or interested or related parties, or an approval of a merger, notice must be provided at least 35 days prior to the meeting.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the Companies Law, under our amended and restated articles of association, the quorum required for our general meetings consists of at least two shareholders present in person, by proxy or written ballot, who hold or represent between them at least 25% of the total outstanding voting rights. If within half an hour of the time set forth for the general meeting a quorum is not present, the general meeting shall stand adjourned the same day of the following week, at the same hour and in the same place, or to such other date, time and place as prescribed in the notice to the shareholders and in such adjourned meeting, if no quorum is present within half an hour of the time arranged, any number of shareholders participating in the meeting, shall constitute a quorum.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Adoption of Resolutions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provide that all resolutions of our shareholders require a simple majority vote, unless otherwise required under the Companies Law or our amended and restated articles of association. A shareholder may vote in a general meeting in person, by proxy or by a written ballot.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Changing Rights Attached to Shares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the terms of the shares and subject to any applicable law, in order to change the rights attached to any class of shares, such change must be adopted at a general meeting of the affected class or by a written consent of all the shareholders of the affected class.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enlargement of an existing class of shares or the issuance of additional shares thereof, shall not be deemed to modify the rights attached to the previously issued shares of such class or of any other class, unless otherwise provided by the terms of the shares.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 to Own Securities in Our Company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on the right to own our securities. In certain circumstances the warrants have restrictions upon the exercise of such warrants if such exercise would result in the holders thereof owning more than 4.99% or 9.99% of our ordinary shares upon such exercise, as further described below.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Restricting Change in Control of Our Company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specific provisions of our amended and restated articles of association that would have an effect of delaying, deferring or preventing a change in control of the Company or that would operate only with respect to a merger, acquisition or corporate restructuring involving us. However, as described below, certain provisions of the Companies Law may have such effect.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includes provisions that allow a merger transaction and requires that each company that is a party to the merger have the transaction approved by its board of directors and, unless certain requirements described under the Companies Law are met, a vote of the majority of shareholders, and, in the case of the target company, also a majority vote of each class of its shares. For purposes of the shareholder vote of each party, unless a court rules otherwise, the merger will not be deemed approved if shares representing a majority of the voting power present at the shareholders meeting and which are not held by the other party to the merger (or by any person or group of persons acting in concert who holds 25% or more of the voting power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requirement that governs all extraordinary transactions with controlling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 In addition, a merger may not be completed unless at least (1) 50 days have passed from the time that the requisite proposals for approval of the merger were filed with the Israeli Registrar of Companies by each merging company and (2) 30 days have passed since the merger was approved by the shareholders of each merging company.</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also provides that an acquisition of shares in an Israeli public company must be made by means of a “special” tender offer if as a result of the acquisition (1) the purchaser would become a holder of 25% or more of the voting rights in the company, unless there is already another holder of at least 25% or more of the voting rights in the company or (2) the purchaser would become a holder of more than 45% of the voting rights in the company, unless there is already a holder of more than 45% of the voting rights in the company. These requirements do not apply if, in general, the acquisition (1) was made in a private placement that received shareholders’ approval, subject to certain conditions, (2) was from a holder of 25% or more of the voting rights in the company which resulted in the acquirer becoming a holder of 25% or more of the voting rights in the company, or (3) was from a holder of more than 45% of the voting rights in the company which resulted in the acquirer becoming a holder of more than 45% of the voting rights in the company. A “special” tender offer must be extended to all shareholders. In general, a “special” tender offer may be consummated only if (1) at least 5% of the voting power attached to the company’s outstanding shares will be acquired by the offeror and (2) the offer is accepted by a majority of the offerees who notified the company of their position in connection with such offer (excluding the offeror, controlling shareholders, holders of 25% or more of the voting rights in the company or anyone on their behalf,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a result of an acquisition of shares, the acquirer will hold more than 90% of an Israeli company’s outstanding shares, the acquisition must be made by means of a tender offer for all of the outstanding shares. In general, if less than 5% of the outstanding shares are not tendered in the tender offer and more than half of the offerees who have no personal interest in the offer tendered their shares, all the shares that the acquirer offered to purchase will be transferred to it by operation of law. However, a tender offer will also be accepted if the shareholders who do not accept the offer hold less than 2% of the issued and outstanding share capital of the company or of the applicable class of shares. Shareholders may request appraisal rights in connection with a full tender offer for a period of six months following the consummation of the tender offer, but the acquirer is entitled to stipulate, under certain conditions, that tendering shareholders will forfeit such appraisal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Israeli tax law treats some acquisitions, such as stock-for-stock exchanges between an Israeli company and a foreign company, less favorably than U.S. tax laws. For example, Israeli tax law may, under certain circumstances, subject a shareholder who exchanges his ordinary shares for shares in another corporation to taxation prior to the sale of the shares received in such stock-for-stock swap.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association enable us to increase or reduce our share capital. Any such changes are subject to the provisions of the Companies Law and must be approved by a resolution duly passed by our shareholders at a general meeting by voting on such change in the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terms and provisions of the 4,355,327 warrants sold in our initial public offering, all of which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exercisable at any time after their original issuance and at any time up to the date that is five years after their original issuance. The warrants will be exercisable, at the option of each holder, in whole or in part by delivering to us a duly executed exercise notice and, at any time a registration statement registering the issuance of the ordinary shares underlying the warrants under the Securities Act is effective and available for the issuance of such shares, by payment in full in immediately available funds for the number of ordinary shares purchased upon such exercise. If a registration statement registering the issuance of the ordinary shares underlying the warrants under the Securities Act is not effective or available, the holder may, in its sole discretion, elect to exercise the warrant through a cashless exercise, in which case the holder would receive upon such exercise the net number of ordinary shares determined according to the formula set forth in the Warrant. No fractional shares will be issued in connection with the exercise of a warrant. In lieu of fractional shares, we will pay the holder an amount in cash equal to the fractional amount multiplied by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does not have the right to exercise any portion of the warrant if the holder (together with its affiliates) would beneficially own in excess of 4.99% of the number of ordinary shares outstanding immediately after giving effect to the exercise, as such percentage ownership is determined in accordance with the terms of the warrants. However, any holder may increase or decrease such percentage to any other percentage not in excess of 9.99%, provided that any increase in such percentage shall not be effective until 61 days following notice from the holder to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per whole ordinary share purchasable upon exercise of the warrants is $33.04 per share. The exercise price of the warrant is subject to appropriate adjustment in the event of certain stock dividends and distributions, stock splits, stock combinations, reclassifications or similar events affecting our ordinary shares and also upon any distributions of assets, including cash, stock or other property to our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the warrants may be offered for sale, sold, transferred or assigned without our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warrants and generally including any reorganization, recapitalization or reclassification of our ordinary shares, the sale, transfer or other disposition of all or substantially all of our properties or assets, our consolidation or merger with or into another person, the acquisition of more than 50% of our outstanding ordinary shares, or any person or group becoming the beneficial owner of 50% of the voting power represented by our outstanding ordinary shares, the holders of the warrants will be entitled to receive upon exercise of the warrants the kind and amount of securities, cash or other property that the holders would have received had they exercised the warrants immediately prior to such fundamental transaction without regard to any limitations on exercised contained in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as a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warrants or by virtue of such holder’s ownership of our ordinary shares, the holder of a warrant does not have the rights or privileges of a holder of our ordinary shares, including any voting rights, until the holder exercises the warrant.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Governing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governed by New York law.</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other securities that are registered under Section 12 of the Securities Act.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TextBody"/>
        <w:bidi w:val="0"/>
        <w:jc w:val="left"/>
        <w:rPr>
          <w:bdr w:val="single" w:sz="12" w:space="1" w:color="000000"/>
        </w:rPr>
      </w:pPr>
      <w:r>
        <w:rPr>
          <w:bdr w:val="single" w:sz="12" w:space="1" w:color="000000"/>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1" w:name="ea020258401ex4-4_railvision.htm"/>
      <w:bookmarkStart w:id="92" w:name="ksea020258401ex44_railvision"/>
      <w:bookmarkEnd w:id="91"/>
      <w:bookmarkEnd w:id="92"/>
      <w:r>
        <w:rPr>
          <w:rFonts w:ascii="Times New Roman;Times;Serif" w:hAnsi="Times New Roman;Times;Serif"/>
          <w:b/>
          <w:i w:val="false"/>
          <w:caps w:val="false"/>
          <w:smallCaps w:val="false"/>
          <w:sz w:val="20"/>
        </w:rPr>
        <w:t>Exhibit 4.4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SHARE OPTION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 amended and ratified on March 28, 2024 </w:t>
      </w:r>
    </w:p>
    <w:p>
      <w:pPr>
        <w:pStyle w:val="TextBody"/>
        <w:bidi w:val="0"/>
        <w:spacing w:before="0" w:after="0"/>
        <w:ind w:left="320" w:right="0" w:hanging="3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Purpose</w:t>
            </w:r>
            <w:r>
              <w:rPr>
                <w:rFonts w:ascii="Times New Roman;Times;Serif" w:hAnsi="Times New Roman;Times;Serif"/>
                <w:sz w:val="20"/>
              </w:rPr>
              <w:t>: The purpose of this Share Option Plan is to provide an additional incentive to Employees, Directors, Consultants and certain other Service Providers of the Company (as defined below) and any Affiliate of the Company (as defined below) to further the growth, development and financial success of the Company by providing them with opportunities to purchase Shares (as defined below) of the Company pursuant to this Share Option Plan and to promote the success of the Company’s business.</w:t>
            </w:r>
          </w:p>
        </w:tc>
      </w:tr>
    </w:tbl>
    <w:p>
      <w:pPr>
        <w:pStyle w:val="TextBody"/>
        <w:bidi w:val="0"/>
        <w:spacing w:before="0" w:after="0"/>
        <w:ind w:left="320" w:right="0" w:hanging="32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170"/>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Definitions</w:t>
            </w:r>
            <w:r>
              <w:rPr>
                <w:rFonts w:ascii="Times New Roman;Times;Serif" w:hAnsi="Times New Roman;Times;Serif"/>
                <w:sz w:val="20"/>
              </w:rPr>
              <w:t>: For the purposes of this Share Option Plan, the following terms shall have the meaning ascribed thereto below:</w:t>
            </w:r>
          </w:p>
        </w:tc>
      </w:tr>
    </w:tbl>
    <w:p>
      <w:pPr>
        <w:pStyle w:val="TextBody"/>
        <w:bidi w:val="0"/>
        <w:spacing w:before="0" w:after="0"/>
        <w:ind w:left="7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31" w:type="dxa"/>
            <w:tcBorders/>
            <w:vAlign w:val="center"/>
          </w:tcPr>
          <w:p>
            <w:pPr>
              <w:pStyle w:val="TableContents"/>
              <w:bidi w:val="0"/>
              <w:spacing w:before="0" w:after="283"/>
              <w:jc w:val="both"/>
              <w:rPr/>
            </w:pPr>
            <w:r>
              <w:rPr/>
              <w:t>“</w:t>
            </w:r>
            <w:r>
              <w:rPr>
                <w:rFonts w:ascii="Times New Roman;Times;Serif" w:hAnsi="Times New Roman;Times;Serif"/>
                <w:b/>
                <w:sz w:val="20"/>
              </w:rPr>
              <w:t xml:space="preserve">Additional Rights” </w:t>
            </w:r>
            <w:r>
              <w:rPr>
                <w:rFonts w:ascii="Times New Roman;Times;Serif" w:hAnsi="Times New Roman;Times;Serif"/>
                <w:sz w:val="20"/>
              </w:rPr>
              <w:t>means any distribution of rights, including an issuance of bonus shares and stock dividends (but excluding cash dividends), in connection with Section 102 Trustee Awards (as defined below) and/or the Shares issued upon exercise of such Awards.</w:t>
            </w:r>
          </w:p>
        </w:tc>
      </w:tr>
    </w:tbl>
    <w:p>
      <w:pPr>
        <w:pStyle w:val="TextBody"/>
        <w:bidi w:val="0"/>
        <w:spacing w:before="0" w:after="0"/>
        <w:ind w:left="7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24" w:type="dxa"/>
            <w:tcBorders/>
            <w:vAlign w:val="center"/>
          </w:tcPr>
          <w:p>
            <w:pPr>
              <w:pStyle w:val="TableContents"/>
              <w:bidi w:val="0"/>
              <w:spacing w:before="0" w:after="283"/>
              <w:jc w:val="both"/>
              <w:rPr/>
            </w:pPr>
            <w:r>
              <w:rPr/>
              <w:t>“</w:t>
            </w:r>
            <w:r>
              <w:rPr>
                <w:rFonts w:ascii="Times New Roman;Times;Serif" w:hAnsi="Times New Roman;Times;Serif"/>
                <w:b/>
                <w:sz w:val="20"/>
              </w:rPr>
              <w:t xml:space="preserve">Afflliate(s)” </w:t>
            </w:r>
            <w:r>
              <w:rPr>
                <w:rFonts w:ascii="Times New Roman;Times;Serif" w:hAnsi="Times New Roman;Times;Serif"/>
                <w:sz w:val="20"/>
              </w:rPr>
              <w:t>means a present or future company that either (i) controls the Company or is controlled by the Company; or (ii) is controlled by the same person or entity that controls the Company, provided that for the purpose of grants made under Section 102, such company is an “employing company” within the meaning of Section 102(a) of the Tax Ordinance (as defined below).</w:t>
            </w:r>
          </w:p>
        </w:tc>
      </w:tr>
    </w:tbl>
    <w:p>
      <w:pPr>
        <w:pStyle w:val="TextBody"/>
        <w:bidi w:val="0"/>
        <w:spacing w:before="0" w:after="0"/>
        <w:ind w:left="7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c)</w:t>
            </w:r>
          </w:p>
        </w:tc>
        <w:tc>
          <w:tcPr>
            <w:tcW w:w="10008" w:type="dxa"/>
            <w:tcBorders/>
            <w:vAlign w:val="center"/>
          </w:tcPr>
          <w:p>
            <w:pPr>
              <w:pStyle w:val="TableContents"/>
              <w:bidi w:val="0"/>
              <w:spacing w:before="0" w:after="283"/>
              <w:jc w:val="both"/>
              <w:rPr/>
            </w:pPr>
            <w:r>
              <w:rPr/>
              <w:t>“</w:t>
            </w:r>
            <w:r>
              <w:rPr>
                <w:rFonts w:ascii="Times New Roman;Times;Serif" w:hAnsi="Times New Roman;Times;Serif"/>
                <w:b/>
                <w:sz w:val="20"/>
              </w:rPr>
              <w:t>Award</w:t>
            </w:r>
            <w:r>
              <w:rPr>
                <w:rFonts w:ascii="Times New Roman;Times;Serif" w:hAnsi="Times New Roman;Times;Serif"/>
                <w:sz w:val="20"/>
              </w:rPr>
              <w:t>” – means an Option, a Share Award and/or any other Share-based award and/or other right or benefit, granted to a Grantee under the Plan.</w:t>
            </w:r>
          </w:p>
        </w:tc>
      </w:tr>
    </w:tbl>
    <w:p>
      <w:pPr>
        <w:pStyle w:val="TextBody"/>
        <w:bidi w:val="0"/>
        <w:spacing w:before="0" w:after="0"/>
        <w:ind w:left="7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both"/>
              <w:rPr/>
            </w:pPr>
            <w:r>
              <w:rPr/>
              <w:t>“</w:t>
            </w:r>
            <w:r>
              <w:rPr>
                <w:rFonts w:ascii="Times New Roman;Times;Serif" w:hAnsi="Times New Roman;Times;Serif"/>
                <w:b/>
                <w:sz w:val="20"/>
              </w:rPr>
              <w:t>Award Agreement</w:t>
            </w:r>
            <w:r>
              <w:rPr>
                <w:rFonts w:ascii="Times New Roman;Times;Serif" w:hAnsi="Times New Roman;Times;Serif"/>
                <w:sz w:val="20"/>
              </w:rPr>
              <w:t>” – with respect to any Grantee – a written award agreement or written instrument, executed by and between the Company and the Grantee, which shall set forth the terms and conditions with respect to the Awards.</w:t>
            </w:r>
          </w:p>
        </w:tc>
      </w:tr>
    </w:tbl>
    <w:p>
      <w:pPr>
        <w:pStyle w:val="TextBody"/>
        <w:bidi w:val="0"/>
        <w:spacing w:before="0" w:after="0"/>
        <w:ind w:left="0" w:right="0" w:firstLine="320"/>
        <w:jc w:val="both"/>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4580" w:type="dxa"/>
            <w:tcBorders/>
            <w:vAlign w:val="center"/>
          </w:tcPr>
          <w:p>
            <w:pPr>
              <w:pStyle w:val="TableContents"/>
              <w:bidi w:val="0"/>
              <w:spacing w:before="0" w:after="283"/>
              <w:jc w:val="both"/>
              <w:rPr/>
            </w:pPr>
            <w:r>
              <w:rPr/>
              <w:t>“</w:t>
            </w:r>
            <w:r>
              <w:rPr>
                <w:rFonts w:ascii="Times New Roman;Times;Serif" w:hAnsi="Times New Roman;Times;Serif"/>
                <w:b/>
                <w:sz w:val="20"/>
              </w:rPr>
              <w:t xml:space="preserve">Board’’ </w:t>
            </w:r>
            <w:r>
              <w:rPr>
                <w:rFonts w:ascii="Times New Roman;Times;Serif" w:hAnsi="Times New Roman;Times;Serif"/>
                <w:sz w:val="20"/>
              </w:rPr>
              <w:t>means the Board of Directors of the Company.</w:t>
            </w:r>
          </w:p>
        </w:tc>
      </w:tr>
    </w:tbl>
    <w:p>
      <w:pPr>
        <w:pStyle w:val="TextBody"/>
        <w:bidi w:val="0"/>
        <w:spacing w:before="0" w:after="0"/>
        <w:ind w:left="7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1"/>
        <w:gridCol w:w="10076"/>
      </w:tblGrid>
      <w:tr>
        <w:trPr/>
        <w:tc>
          <w:tcPr>
            <w:tcW w:w="38"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76" w:type="dxa"/>
            <w:tcBorders/>
            <w:vAlign w:val="center"/>
          </w:tcPr>
          <w:p>
            <w:pPr>
              <w:pStyle w:val="TableContents"/>
              <w:bidi w:val="0"/>
              <w:spacing w:before="0" w:after="283"/>
              <w:jc w:val="both"/>
              <w:rPr/>
            </w:pPr>
            <w:r>
              <w:rPr/>
              <w:t>“</w:t>
            </w:r>
            <w:r>
              <w:rPr>
                <w:rFonts w:ascii="Times New Roman;Times;Serif" w:hAnsi="Times New Roman;Times;Serif"/>
                <w:b/>
                <w:sz w:val="20"/>
              </w:rPr>
              <w:t xml:space="preserve">Cause” </w:t>
            </w:r>
            <w:r>
              <w:rPr>
                <w:rFonts w:ascii="Times New Roman;Times;Serif" w:hAnsi="Times New Roman;Times;Serif"/>
                <w:sz w:val="20"/>
              </w:rPr>
              <w:t>means any of the following: (i) a serious breach of trust, including but not limited to, theft, embezzlement, self-dealing, and/or breach of fiduciary duties; (ii) the Grantee (as defined below) has committed any flagrant criminal offense; (iii) a material breach by the Grantee of any agreement between the Grantee and the Company and/or any Affiliate, which has not been remedied within thirty (30) days after the Grantee has received a written demand for performance from the Company; or (iv) any other circumstance justifying termination or dismissal without severance payment according to Israeli law.</w:t>
            </w:r>
          </w:p>
        </w:tc>
      </w:tr>
    </w:tbl>
    <w:p>
      <w:pPr>
        <w:pStyle w:val="TextBody"/>
        <w:bidi w:val="0"/>
        <w:spacing w:before="0" w:after="0"/>
        <w:ind w:left="7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10014" w:type="dxa"/>
            <w:tcBorders/>
            <w:vAlign w:val="center"/>
          </w:tcPr>
          <w:p>
            <w:pPr>
              <w:pStyle w:val="TableContents"/>
              <w:bidi w:val="0"/>
              <w:spacing w:before="0" w:after="283"/>
              <w:jc w:val="both"/>
              <w:rPr/>
            </w:pPr>
            <w:r>
              <w:rPr/>
              <w:t>“</w:t>
            </w:r>
            <w:r>
              <w:rPr>
                <w:rFonts w:ascii="Times New Roman;Times;Serif" w:hAnsi="Times New Roman;Times;Serif"/>
                <w:b/>
                <w:sz w:val="20"/>
              </w:rPr>
              <w:t xml:space="preserve">Committee” </w:t>
            </w:r>
            <w:r>
              <w:rPr>
                <w:rFonts w:ascii="Times New Roman;Times;Serif" w:hAnsi="Times New Roman;Times;Serif"/>
                <w:sz w:val="20"/>
              </w:rPr>
              <w:t>means a committee of Directors (as defined below) to which the Board may delegate power to act under or pursuant to the provisions of the Plan. In the absence of any such delegation, the Committee will consist of the entire Board.</w:t>
            </w:r>
          </w:p>
        </w:tc>
      </w:tr>
    </w:tbl>
    <w:p>
      <w:pPr>
        <w:pStyle w:val="TextBody"/>
        <w:bidi w:val="0"/>
        <w:spacing w:before="0" w:after="0"/>
        <w:ind w:left="700" w:right="0" w:hanging="36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85"/>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7940" w:type="dxa"/>
            <w:tcBorders/>
            <w:vAlign w:val="center"/>
          </w:tcPr>
          <w:p>
            <w:pPr>
              <w:pStyle w:val="TableContents"/>
              <w:bidi w:val="0"/>
              <w:spacing w:before="0" w:after="283"/>
              <w:jc w:val="both"/>
              <w:rPr/>
            </w:pPr>
            <w:r>
              <w:rPr/>
              <w:t>“</w:t>
            </w:r>
            <w:r>
              <w:rPr>
                <w:rFonts w:ascii="Times New Roman;Times;Serif" w:hAnsi="Times New Roman;Times;Serif"/>
                <w:b/>
                <w:sz w:val="20"/>
              </w:rPr>
              <w:t xml:space="preserve">Company” </w:t>
            </w:r>
            <w:r>
              <w:rPr>
                <w:rFonts w:ascii="Times New Roman;Times;Serif" w:hAnsi="Times New Roman;Times;Serif"/>
                <w:sz w:val="20"/>
              </w:rPr>
              <w:t>means Rail Vision Ltd., a company incorporated under the laws of the State of Israel.</w:t>
            </w:r>
          </w:p>
        </w:tc>
      </w:tr>
    </w:tbl>
    <w:p>
      <w:pPr>
        <w:pStyle w:val="TextBody"/>
        <w:bidi w:val="0"/>
        <w:spacing w:before="0" w:after="0"/>
        <w:ind w:left="0" w:right="0" w:firstLine="3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4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380" w:type="dxa"/>
            <w:tcBorders/>
            <w:vAlign w:val="center"/>
          </w:tcPr>
          <w:p>
            <w:pPr>
              <w:pStyle w:val="TableContents"/>
              <w:bidi w:val="0"/>
              <w:spacing w:before="0" w:after="283"/>
              <w:jc w:val="both"/>
              <w:rPr/>
            </w:pPr>
            <w:r>
              <w:rPr/>
              <w:t>“</w:t>
            </w:r>
            <w:r>
              <w:rPr>
                <w:rFonts w:ascii="Times New Roman;Times;Serif" w:hAnsi="Times New Roman;Times;Serif"/>
                <w:b/>
                <w:sz w:val="20"/>
              </w:rPr>
              <w:t xml:space="preserve">Companies Law” </w:t>
            </w:r>
            <w:r>
              <w:rPr>
                <w:rFonts w:ascii="Times New Roman;Times;Serif" w:hAnsi="Times New Roman;Times;Serif"/>
                <w:sz w:val="20"/>
              </w:rPr>
              <w:t>means the Israeli Companies Law 5759-1999, as amended.</w:t>
            </w:r>
          </w:p>
        </w:tc>
      </w:tr>
    </w:tbl>
    <w:p>
      <w:pPr>
        <w:pStyle w:val="TextBody"/>
        <w:bidi w:val="0"/>
        <w:spacing w:before="0" w:after="0"/>
        <w:ind w:left="7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4"/>
        <w:gridCol w:w="10043"/>
      </w:tblGrid>
      <w:tr>
        <w:trPr/>
        <w:tc>
          <w:tcPr>
            <w:tcW w:w="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10043" w:type="dxa"/>
            <w:tcBorders/>
            <w:vAlign w:val="center"/>
          </w:tcPr>
          <w:p>
            <w:pPr>
              <w:pStyle w:val="TableContents"/>
              <w:bidi w:val="0"/>
              <w:spacing w:before="0" w:after="283"/>
              <w:jc w:val="both"/>
              <w:rPr/>
            </w:pPr>
            <w:r>
              <w:rPr/>
              <w:t>“</w:t>
            </w:r>
            <w:r>
              <w:rPr>
                <w:rFonts w:ascii="Times New Roman;Times;Serif" w:hAnsi="Times New Roman;Times;Serif"/>
                <w:b/>
                <w:sz w:val="20"/>
              </w:rPr>
              <w:t xml:space="preserve">Consultant” </w:t>
            </w:r>
            <w:r>
              <w:rPr>
                <w:rFonts w:ascii="Times New Roman;Times;Serif" w:hAnsi="Times New Roman;Times;Serif"/>
                <w:sz w:val="20"/>
              </w:rPr>
              <w:t>means any person or entity that is engaged by the Company or any Affiliate of the Company to render consulting or advisory services to such entity.</w:t>
            </w:r>
          </w:p>
        </w:tc>
      </w:tr>
    </w:tbl>
    <w:p>
      <w:pPr>
        <w:pStyle w:val="TextBody"/>
        <w:bidi w:val="0"/>
        <w:spacing w:before="0" w:after="0"/>
        <w:ind w:left="700" w:right="0" w:hanging="36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85"/>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7895" w:type="dxa"/>
            <w:tcBorders/>
            <w:vAlign w:val="center"/>
          </w:tcPr>
          <w:p>
            <w:pPr>
              <w:pStyle w:val="TableContents"/>
              <w:bidi w:val="0"/>
              <w:spacing w:before="0" w:after="283"/>
              <w:jc w:val="both"/>
              <w:rPr/>
            </w:pPr>
            <w:r>
              <w:rPr/>
              <w:t>“</w:t>
            </w:r>
            <w:r>
              <w:rPr>
                <w:rFonts w:ascii="Times New Roman;Times;Serif" w:hAnsi="Times New Roman;Times;Serif"/>
                <w:b/>
                <w:sz w:val="20"/>
              </w:rPr>
              <w:t xml:space="preserve">Controlling Shareholder” </w:t>
            </w:r>
            <w:r>
              <w:rPr>
                <w:rFonts w:ascii="Times New Roman;Times;Serif" w:hAnsi="Times New Roman;Times;Serif"/>
                <w:sz w:val="20"/>
              </w:rPr>
              <w:t>has the meaning ascribed to it in Section 32(i) of the Tax Ordinance.</w:t>
            </w:r>
          </w:p>
        </w:tc>
      </w:tr>
    </w:tbl>
    <w:p>
      <w:pPr>
        <w:pStyle w:val="TextBody"/>
        <w:bidi w:val="0"/>
        <w:spacing w:before="0" w:after="0"/>
        <w:ind w:left="7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10041" w:type="dxa"/>
            <w:tcBorders/>
            <w:vAlign w:val="center"/>
          </w:tcPr>
          <w:p>
            <w:pPr>
              <w:pStyle w:val="TableContents"/>
              <w:bidi w:val="0"/>
              <w:spacing w:before="0" w:after="283"/>
              <w:jc w:val="both"/>
              <w:rPr/>
            </w:pPr>
            <w:r>
              <w:rPr/>
              <w:t>“</w:t>
            </w:r>
            <w:r>
              <w:rPr>
                <w:rFonts w:ascii="Times New Roman;Times;Serif" w:hAnsi="Times New Roman;Times;Serif"/>
                <w:b/>
                <w:sz w:val="20"/>
              </w:rPr>
              <w:t xml:space="preserve">Corporate Transaction” </w:t>
            </w:r>
            <w:r>
              <w:rPr>
                <w:rFonts w:ascii="Times New Roman;Times;Serif" w:hAnsi="Times New Roman;Times;Serif"/>
                <w:sz w:val="20"/>
              </w:rPr>
              <w:t>means the consummation of any of the following transactions or series of related transactions to which the Company is a party:</w:t>
            </w:r>
          </w:p>
        </w:tc>
      </w:tr>
    </w:tbl>
    <w:p>
      <w:pPr>
        <w:pStyle w:val="TextBody"/>
        <w:bidi w:val="0"/>
        <w:spacing w:before="0" w:after="0"/>
        <w:ind w:left="7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7"/>
        <w:gridCol w:w="10080"/>
      </w:tblGrid>
      <w:tr>
        <w:trPr/>
        <w:tc>
          <w:tcPr>
            <w:tcW w:w="38"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becomes a beneficial owner, directly or indirectly, of either (A) 50% or more of the then-outstanding Shares or (B) securities of the Company representing 50% or more of the combined voting power of the Company’s then outstanding securities eligible to vote for the election of directors; provided, however, that for purposes of this subsection i), the following acquisitions of shares or the Company’s voting securities shall not constitute a Change in Control: (w) an acquisition directly from the Company pursuant to share issuances, share purchases, or similar acquisitions by Company shareholders, (x) an acquisition by the Company or an Affiliate, (y) an acquisition by any employee benefit plan (or related trust) sponsored or maintained by the Company or any Affiliate, or (z) an acquisition pursuant to a Non-Qualifying Transaction (as defined in subsection (ii) below);</w:t>
            </w:r>
          </w:p>
        </w:tc>
      </w:tr>
    </w:tbl>
    <w:p>
      <w:pPr>
        <w:pStyle w:val="TextBody"/>
        <w:bidi w:val="0"/>
        <w:spacing w:before="0" w:after="0"/>
        <w:ind w:left="700" w:right="0" w:hanging="0"/>
        <w:jc w:val="both"/>
        <w:rPr>
          <w:caps w:val="false"/>
          <w:smallCaps w:val="false"/>
        </w:rPr>
      </w:pPr>
      <w:r>
        <w:rPr>
          <w:caps w:val="false"/>
          <w:smallCaps w:val="false"/>
        </w:rPr>
        <w:t> </w:t>
      </w:r>
    </w:p>
    <w:p>
      <w:pPr>
        <w:pStyle w:val="TextBody"/>
        <w:bidi w:val="0"/>
        <w:spacing w:before="0" w:after="0"/>
        <w:ind w:left="7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7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0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consummation of a reorganization, merger, consolidation, statutory share exchange or similar form of corporate transaction involving the Company or an Affiliate (a “Reorganization”), or the sale or other disposition of all or substantially all of the Company’s assets (a “Sale”) or the acquisition of assets or stock of another corporation or other entity (an “Acquisition”), unless immediately following such Reorganization, Sale or Acquisition: (A) all or substantially all of the individuals and entities who were the beneficial owners, respectively, of the outstanding Shares and outstanding Company’s voting securities immediately prior to such Reorganization, Sale or Acquisition beneficially own, directly or indirectly, more than 50% of, respectively, the then outstanding Shares and the combined voting power of the then outstanding voting securities entitled to vote generally in the election of directors, as the case may be, of the entity resulting from such Reorganization, Sale or Acquisition (including, without limitation, an entity which as a result of such transaction owns the Company or all or substantially all of the Company’s assets or shares either directly or through one or more subsidiaries, the “Surviving Entity”) in substantially the same proportions as their ownership, immediately prior to such Reorganization, Sale or Acquisition, of the outstanding Shares and outstanding voting securities, as the case may be, and (B) no person (other than (x) the Company or any Affiliate, (y) the Surviving Entity or its ultimate parent entity, or (z) any employee benefit plan (or related trust) sponsored or maintained by any of the foregoing) is the beneficial owner, directly or indirectly, of 50% or more of the total ordinary shares or 50% or more of the total voting power of the outstanding voting securities eligible to elect directors of the Surviving Entity (any Reorganization, Sale or Acquisition which satisfies all of the criteria specified in (A) and (B) above shall be deemed to be a “Non-Qualifying Transaction”);</w:t>
            </w:r>
          </w:p>
        </w:tc>
      </w:tr>
    </w:tbl>
    <w:p>
      <w:pPr>
        <w:pStyle w:val="TextBody"/>
        <w:bidi w:val="0"/>
        <w:spacing w:before="0" w:after="0"/>
        <w:ind w:left="0" w:right="0" w:firstLine="32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5780" w:type="dxa"/>
            <w:tcBorders/>
            <w:vAlign w:val="center"/>
          </w:tcPr>
          <w:p>
            <w:pPr>
              <w:pStyle w:val="TableContents"/>
              <w:bidi w:val="0"/>
              <w:spacing w:before="0" w:after="283"/>
              <w:jc w:val="both"/>
              <w:rPr/>
            </w:pPr>
            <w:r>
              <w:rPr/>
              <w:t>“</w:t>
            </w:r>
            <w:r>
              <w:rPr>
                <w:rFonts w:ascii="Times New Roman;Times;Serif" w:hAnsi="Times New Roman;Times;Serif"/>
                <w:b/>
                <w:sz w:val="20"/>
              </w:rPr>
              <w:t xml:space="preserve">Director” </w:t>
            </w:r>
            <w:r>
              <w:rPr>
                <w:rFonts w:ascii="Times New Roman;Times;Serif" w:hAnsi="Times New Roman;Times;Serif"/>
                <w:sz w:val="20"/>
              </w:rPr>
              <w:t>means a member of the Board of Directors of the Company.</w:t>
            </w:r>
          </w:p>
        </w:tc>
      </w:tr>
    </w:tbl>
    <w:p>
      <w:pPr>
        <w:pStyle w:val="TextBody"/>
        <w:bidi w:val="0"/>
        <w:spacing w:before="0" w:after="0"/>
        <w:ind w:left="66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10015" w:type="dxa"/>
            <w:tcBorders/>
            <w:vAlign w:val="center"/>
          </w:tcPr>
          <w:p>
            <w:pPr>
              <w:pStyle w:val="TableContents"/>
              <w:bidi w:val="0"/>
              <w:spacing w:before="0" w:after="283"/>
              <w:jc w:val="both"/>
              <w:rPr/>
            </w:pPr>
            <w:r>
              <w:rPr/>
              <w:t>“</w:t>
            </w:r>
            <w:r>
              <w:rPr>
                <w:rFonts w:ascii="Times New Roman;Times;Serif" w:hAnsi="Times New Roman;Times;Serif"/>
                <w:b/>
                <w:sz w:val="20"/>
              </w:rPr>
              <w:t xml:space="preserve">Disability” </w:t>
            </w:r>
            <w:r>
              <w:rPr>
                <w:rFonts w:ascii="Times New Roman;Times;Serif" w:hAnsi="Times New Roman;Times;Serif"/>
                <w:sz w:val="20"/>
              </w:rPr>
              <w:t>means a complete and permanent inability, due to illness or injury, to perform the duties of the Grantee’s engagement at such time when the disability commenced, as determined by the Committee based on medical evidence acceptable to it.</w:t>
            </w:r>
          </w:p>
        </w:tc>
      </w:tr>
    </w:tbl>
    <w:p>
      <w:pPr>
        <w:pStyle w:val="TextBody"/>
        <w:bidi w:val="0"/>
        <w:spacing w:before="0" w:after="0"/>
        <w:ind w:left="66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34" w:type="dxa"/>
            <w:tcBorders/>
            <w:vAlign w:val="center"/>
          </w:tcPr>
          <w:p>
            <w:pPr>
              <w:pStyle w:val="TableContents"/>
              <w:bidi w:val="0"/>
              <w:spacing w:before="0" w:after="283"/>
              <w:jc w:val="both"/>
              <w:rPr/>
            </w:pPr>
            <w:r>
              <w:rPr/>
              <w:t>“</w:t>
            </w:r>
            <w:r>
              <w:rPr>
                <w:rFonts w:ascii="Times New Roman;Times;Serif" w:hAnsi="Times New Roman;Times;Serif"/>
                <w:b/>
                <w:sz w:val="20"/>
              </w:rPr>
              <w:t xml:space="preserve">Employee” </w:t>
            </w:r>
            <w:r>
              <w:rPr>
                <w:rFonts w:ascii="Times New Roman;Times;Serif" w:hAnsi="Times New Roman;Times;Serif"/>
                <w:sz w:val="20"/>
              </w:rPr>
              <w:t xml:space="preserve">means any person, including officers and Directors, employed by the Company or any Affiliate of the Company. A person employed by the Company or any Affiliate of the Company shall not cease to be an Employee for the purposes of the Plan in the case of (i) any leave of absence approved by the Company, or (ii) transfer between locations of the Company, or (iii) transfer of employment between the Company and any Affiliate or any successor thereto. With regard to Section 102 Trustee Awards and Section 102 Non-Trustee Awards (as defined below), “Employee” includes Directors and office holders </w:t>
            </w:r>
            <w:r>
              <w:rPr>
                <w:rFonts w:ascii="Times New Roman;Times;Serif" w:hAnsi="Times New Roman;Times;Serif"/>
                <w:i/>
                <w:sz w:val="20"/>
              </w:rPr>
              <w:t>(“Nosei Misra”</w:t>
            </w:r>
            <w:r>
              <w:rPr>
                <w:rFonts w:ascii="Times New Roman;Times;Serif" w:hAnsi="Times New Roman;Times;Serif"/>
                <w:sz w:val="20"/>
              </w:rPr>
              <w:t xml:space="preserve"> as such term is defined in the Israeli Companies Law), and excludes any person who is a Controlling Shareholder prior to and/or after the issuance of the Shares issued upon exercise of the Awards.</w:t>
            </w:r>
          </w:p>
        </w:tc>
      </w:tr>
    </w:tbl>
    <w:p>
      <w:pPr>
        <w:pStyle w:val="TextBody"/>
        <w:bidi w:val="0"/>
        <w:spacing w:before="0" w:after="0"/>
        <w:ind w:left="66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10010" w:type="dxa"/>
            <w:tcBorders/>
            <w:vAlign w:val="center"/>
          </w:tcPr>
          <w:p>
            <w:pPr>
              <w:pStyle w:val="TableContents"/>
              <w:bidi w:val="0"/>
              <w:spacing w:before="0" w:after="283"/>
              <w:jc w:val="both"/>
              <w:rPr/>
            </w:pPr>
            <w:r>
              <w:rPr/>
              <w:t>“</w:t>
            </w:r>
            <w:r>
              <w:rPr>
                <w:rFonts w:ascii="Times New Roman;Times;Serif" w:hAnsi="Times New Roman;Times;Serif"/>
                <w:b/>
                <w:sz w:val="20"/>
              </w:rPr>
              <w:t xml:space="preserve">Exercise Price” </w:t>
            </w:r>
            <w:r>
              <w:rPr>
                <w:rFonts w:ascii="Times New Roman;Times;Serif" w:hAnsi="Times New Roman;Times;Serif"/>
                <w:sz w:val="20"/>
              </w:rPr>
              <w:t>means the price per Share determined by the Committee in accordance with Section 10 below, which is to be paid to the Company in order to exercise an Award and purchase the Share(s) covered thereby.</w:t>
            </w:r>
          </w:p>
        </w:tc>
      </w:tr>
    </w:tbl>
    <w:p>
      <w:pPr>
        <w:pStyle w:val="TextBody"/>
        <w:bidi w:val="0"/>
        <w:spacing w:before="0" w:after="0"/>
        <w:ind w:left="66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w:t>
            </w:r>
          </w:p>
        </w:tc>
        <w:tc>
          <w:tcPr>
            <w:tcW w:w="10019" w:type="dxa"/>
            <w:tcBorders/>
            <w:vAlign w:val="center"/>
          </w:tcPr>
          <w:p>
            <w:pPr>
              <w:pStyle w:val="TableContents"/>
              <w:bidi w:val="0"/>
              <w:spacing w:before="0" w:after="283"/>
              <w:jc w:val="both"/>
              <w:rPr/>
            </w:pPr>
            <w:r>
              <w:rPr/>
              <w:t>“</w:t>
            </w:r>
            <w:r>
              <w:rPr>
                <w:rFonts w:ascii="Times New Roman;Times;Serif" w:hAnsi="Times New Roman;Times;Serif"/>
                <w:b/>
                <w:sz w:val="20"/>
              </w:rPr>
              <w:t>Expiration Date</w:t>
            </w:r>
            <w:r>
              <w:rPr>
                <w:rFonts w:ascii="Times New Roman;Times;Serif" w:hAnsi="Times New Roman;Times;Serif"/>
                <w:sz w:val="20"/>
              </w:rPr>
              <w:t>” of an Award means the earlier of: (i) the lapse of ten (10) years from the date such Award was granted; (ii) the expiration date set forth in the Award Agreement; or (iii) with respect to a Share Award, the time on which such Share Award expires in accordance with Section 11 of the Plan.</w:t>
            </w:r>
          </w:p>
        </w:tc>
      </w:tr>
    </w:tbl>
    <w:p>
      <w:pPr>
        <w:pStyle w:val="TextBody"/>
        <w:bidi w:val="0"/>
        <w:spacing w:before="0" w:after="0"/>
        <w:ind w:left="0" w:right="0" w:firstLine="32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14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t>
            </w:r>
          </w:p>
        </w:tc>
        <w:tc>
          <w:tcPr>
            <w:tcW w:w="7145" w:type="dxa"/>
            <w:tcBorders/>
            <w:vAlign w:val="center"/>
          </w:tcPr>
          <w:p>
            <w:pPr>
              <w:pStyle w:val="TableContents"/>
              <w:bidi w:val="0"/>
              <w:spacing w:before="0" w:after="283"/>
              <w:jc w:val="both"/>
              <w:rPr/>
            </w:pPr>
            <w:r>
              <w:rPr/>
              <w:t>“</w:t>
            </w:r>
            <w:r>
              <w:rPr>
                <w:rFonts w:ascii="Times New Roman;Times;Serif" w:hAnsi="Times New Roman;Times;Serif"/>
                <w:b/>
                <w:sz w:val="20"/>
              </w:rPr>
              <w:t xml:space="preserve">Fair Market Value” </w:t>
            </w:r>
            <w:r>
              <w:rPr>
                <w:rFonts w:ascii="Times New Roman;Times;Serif" w:hAnsi="Times New Roman;Times;Serif"/>
                <w:sz w:val="20"/>
              </w:rPr>
              <w:t>means, as of any date, the value of a Share determined as follows:</w:t>
            </w:r>
          </w:p>
        </w:tc>
      </w:tr>
    </w:tbl>
    <w:p>
      <w:pPr>
        <w:pStyle w:val="TextBody"/>
        <w:bidi w:val="0"/>
        <w:spacing w:before="0" w:after="0"/>
        <w:ind w:left="10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0"/>
        <w:gridCol w:w="10077"/>
      </w:tblGrid>
      <w:tr>
        <w:trPr/>
        <w:tc>
          <w:tcPr>
            <w:tcW w:w="3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Shares are admitted to trading on any established stock exchange or a national market system, including without limitation the Nasdaq National Market or the Nasdaq Small Cap Market of the Nasdaq Stock Market, the Fair Market Value shall be the closing sale price of a Share on the principal exchange on which Shares are then trading (or as reported on any composite index which includes such principal exchange), on the trading day immediately preceding such date, or if Shares were not traded on such date, then on the next preceding date of which a trade occurred, as reported in </w:t>
            </w:r>
            <w:r>
              <w:rPr>
                <w:rFonts w:ascii="Times New Roman;Times;Serif" w:hAnsi="Times New Roman;Times;Serif"/>
                <w:i/>
                <w:sz w:val="20"/>
              </w:rPr>
              <w:t>The Wall Street Journal</w:t>
            </w:r>
            <w:r>
              <w:rPr>
                <w:rFonts w:ascii="Times New Roman;Times;Serif" w:hAnsi="Times New Roman;Times;Serif"/>
                <w:sz w:val="20"/>
              </w:rPr>
              <w:t xml:space="preserve"> or such other source as the Committee deems reliable;</w:t>
            </w:r>
          </w:p>
        </w:tc>
      </w:tr>
    </w:tbl>
    <w:p>
      <w:pPr>
        <w:pStyle w:val="TextBody"/>
        <w:bidi w:val="0"/>
        <w:spacing w:before="0" w:after="0"/>
        <w:ind w:left="10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00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Shares are not traded on an exchange, but are admitted to quotation on the Nasdaq or other comparable quotation system, the Fair Market Value shall be the mean between closing representative bid and asked prices for the Shares on the trading day immediately preceding such date or, if no bid and ask prices were reported on such date, then on the last date preceding such date on which both bid and ask prices were reported, all as reported by Nasdaq or such other comparable quotation system; or</w:t>
            </w:r>
          </w:p>
        </w:tc>
      </w:tr>
    </w:tbl>
    <w:p>
      <w:pPr>
        <w:pStyle w:val="TextBody"/>
        <w:bidi w:val="0"/>
        <w:spacing w:before="0" w:after="0"/>
        <w:ind w:left="1040" w:right="0" w:hanging="360"/>
        <w:jc w:val="both"/>
        <w:rPr>
          <w:caps w:val="false"/>
          <w:smallCaps w:val="false"/>
        </w:rPr>
      </w:pPr>
      <w:r>
        <w:rPr>
          <w:caps w:val="false"/>
          <w:smallCaps w:val="false"/>
        </w:rPr>
        <w:t> </w:t>
      </w:r>
    </w:p>
    <w:p>
      <w:pPr>
        <w:pStyle w:val="TextBody"/>
        <w:bidi w:val="0"/>
        <w:spacing w:before="0" w:after="0"/>
        <w:ind w:left="10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0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Shares are not publicly traded on an exchange and not quoted on Nasdaq or a comparable quotation system, the Fair Market Value shall be determined in good faith by the Committee.</w:t>
            </w:r>
          </w:p>
        </w:tc>
      </w:tr>
    </w:tbl>
    <w:p>
      <w:pPr>
        <w:pStyle w:val="TextBody"/>
        <w:bidi w:val="0"/>
        <w:spacing w:before="0" w:after="0"/>
        <w:ind w:left="1040" w:right="0" w:hanging="3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derogating from the foregoing and solely for the purpose of determining the tax liability, in the case of Capital Gain Option Through a Trustee (as defined below), the Fair Market Value of a Share at grant shall be determined in accordance with the provisions of Section 102(b)(3) of the Tax Ordinance as further detailed in Section 18(b) below.</w:t>
            </w:r>
          </w:p>
        </w:tc>
      </w:tr>
    </w:tbl>
    <w:p>
      <w:pPr>
        <w:pStyle w:val="TextBody"/>
        <w:bidi w:val="0"/>
        <w:spacing w:before="0" w:after="0"/>
        <w:ind w:left="660" w:right="0" w:hanging="34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55"/>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t>
            </w:r>
          </w:p>
        </w:tc>
        <w:tc>
          <w:tcPr>
            <w:tcW w:w="4910" w:type="dxa"/>
            <w:tcBorders/>
            <w:vAlign w:val="center"/>
          </w:tcPr>
          <w:p>
            <w:pPr>
              <w:pStyle w:val="TableContents"/>
              <w:bidi w:val="0"/>
              <w:spacing w:before="0" w:after="283"/>
              <w:jc w:val="both"/>
              <w:rPr/>
            </w:pPr>
            <w:r>
              <w:rPr/>
              <w:t>“</w:t>
            </w:r>
            <w:r>
              <w:rPr>
                <w:rFonts w:ascii="Times New Roman;Times;Serif" w:hAnsi="Times New Roman;Times;Serif"/>
                <w:b/>
                <w:sz w:val="20"/>
              </w:rPr>
              <w:t>Grantee</w:t>
            </w:r>
            <w:r>
              <w:rPr>
                <w:rFonts w:ascii="Times New Roman;Times;Serif" w:hAnsi="Times New Roman;Times;Serif"/>
                <w:sz w:val="20"/>
              </w:rPr>
              <w:t>” – a person or entity to whom Awards are granted.</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7"/>
        <w:gridCol w:w="10070"/>
      </w:tblGrid>
      <w:tr>
        <w:trPr/>
        <w:tc>
          <w:tcPr>
            <w:tcW w:w="38"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t>
            </w:r>
          </w:p>
        </w:tc>
        <w:tc>
          <w:tcPr>
            <w:tcW w:w="10070" w:type="dxa"/>
            <w:tcBorders/>
            <w:vAlign w:val="center"/>
          </w:tcPr>
          <w:p>
            <w:pPr>
              <w:pStyle w:val="TableContents"/>
              <w:bidi w:val="0"/>
              <w:spacing w:before="0" w:after="283"/>
              <w:jc w:val="both"/>
              <w:rPr/>
            </w:pPr>
            <w:r>
              <w:rPr/>
              <w:t>“</w:t>
            </w:r>
            <w:r>
              <w:rPr>
                <w:rFonts w:ascii="Times New Roman;Times;Serif" w:hAnsi="Times New Roman;Times;Serif"/>
                <w:b/>
                <w:sz w:val="20"/>
              </w:rPr>
              <w:t xml:space="preserve">Lock-up Period” </w:t>
            </w:r>
            <w:r>
              <w:rPr>
                <w:rFonts w:ascii="Times New Roman;Times;Serif" w:hAnsi="Times New Roman;Times;Serif"/>
                <w:sz w:val="20"/>
              </w:rPr>
              <w:t>means the period during which the Section 102 Trustee Awards granted to an Grantee or, upon exercise thereof the underlying Shares as well as any Additional Rights distributed in connection therewith are to be held by the Trustee (as defined below) on behalf of the Grantee, in accordance with Section 102 (as defined below) and pursuant to the tax route which the Company elects.</w:t>
            </w:r>
          </w:p>
        </w:tc>
      </w:tr>
    </w:tbl>
    <w:p>
      <w:pPr>
        <w:pStyle w:val="TextBody"/>
        <w:bidi w:val="0"/>
        <w:spacing w:before="0" w:after="0"/>
        <w:ind w:left="0" w:right="0" w:firstLine="32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185"/>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w:t>
            </w:r>
          </w:p>
        </w:tc>
        <w:tc>
          <w:tcPr>
            <w:tcW w:w="5945" w:type="dxa"/>
            <w:tcBorders/>
            <w:vAlign w:val="center"/>
          </w:tcPr>
          <w:p>
            <w:pPr>
              <w:pStyle w:val="TableContents"/>
              <w:bidi w:val="0"/>
              <w:spacing w:before="0" w:after="283"/>
              <w:jc w:val="both"/>
              <w:rPr/>
            </w:pPr>
            <w:r>
              <w:rPr/>
              <w:t>“</w:t>
            </w:r>
            <w:r>
              <w:rPr>
                <w:rFonts w:ascii="Times New Roman;Times;Serif" w:hAnsi="Times New Roman;Times;Serif"/>
                <w:b/>
                <w:sz w:val="20"/>
              </w:rPr>
              <w:t xml:space="preserve">Notice of Exercise” </w:t>
            </w:r>
            <w:r>
              <w:rPr>
                <w:rFonts w:ascii="Times New Roman;Times;Serif" w:hAnsi="Times New Roman;Times;Serif"/>
                <w:sz w:val="20"/>
              </w:rPr>
              <w:t>has the meaning ascribed to it in Section 11 below.</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10020" w:type="dxa"/>
            <w:tcBorders/>
            <w:vAlign w:val="center"/>
          </w:tcPr>
          <w:p>
            <w:pPr>
              <w:pStyle w:val="TableContents"/>
              <w:bidi w:val="0"/>
              <w:spacing w:before="0" w:after="283"/>
              <w:jc w:val="both"/>
              <w:rPr/>
            </w:pPr>
            <w:r>
              <w:rPr/>
              <w:t>“</w:t>
            </w:r>
            <w:r>
              <w:rPr>
                <w:rFonts w:ascii="Times New Roman;Times;Serif" w:hAnsi="Times New Roman;Times;Serif"/>
                <w:b/>
                <w:sz w:val="20"/>
              </w:rPr>
              <w:t xml:space="preserve">Option(s)” </w:t>
            </w:r>
            <w:r>
              <w:rPr>
                <w:rFonts w:ascii="Times New Roman;Times;Serif" w:hAnsi="Times New Roman;Times;Serif"/>
                <w:sz w:val="20"/>
              </w:rPr>
              <w:t>means a right to purchase Shares granted under Section 8 below in accordance with the provisions of the Award Agreement, and subject to the terms specified in the Plan, whether a Section 102 Trustee Award, Section 102 Non-Trustee Award, Section 3(i) Award, or option issued under other tax regimes.</w:t>
            </w:r>
          </w:p>
        </w:tc>
      </w:tr>
    </w:tbl>
    <w:p>
      <w:pPr>
        <w:pStyle w:val="TextBody"/>
        <w:bidi w:val="0"/>
        <w:spacing w:before="0" w:after="0"/>
        <w:ind w:left="680" w:right="0" w:hanging="36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1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t>
            </w:r>
          </w:p>
        </w:tc>
        <w:tc>
          <w:tcPr>
            <w:tcW w:w="5570" w:type="dxa"/>
            <w:tcBorders/>
            <w:vAlign w:val="center"/>
          </w:tcPr>
          <w:p>
            <w:pPr>
              <w:pStyle w:val="TableContents"/>
              <w:bidi w:val="0"/>
              <w:spacing w:before="0" w:after="283"/>
              <w:jc w:val="both"/>
              <w:rPr/>
            </w:pPr>
            <w:r>
              <w:rPr/>
              <w:t>“</w:t>
            </w:r>
            <w:r>
              <w:rPr>
                <w:rFonts w:ascii="Times New Roman;Times;Serif" w:hAnsi="Times New Roman;Times;Serif"/>
                <w:b/>
                <w:sz w:val="20"/>
              </w:rPr>
              <w:t xml:space="preserve">Plan” </w:t>
            </w:r>
            <w:r>
              <w:rPr>
                <w:rFonts w:ascii="Times New Roman;Times;Serif" w:hAnsi="Times New Roman;Times;Serif"/>
                <w:sz w:val="20"/>
              </w:rPr>
              <w:t>means this Share Option Plan, as amended from time to time.</w:t>
            </w:r>
          </w:p>
        </w:tc>
      </w:tr>
    </w:tbl>
    <w:p>
      <w:pPr>
        <w:pStyle w:val="TextBody"/>
        <w:bidi w:val="0"/>
        <w:spacing w:before="0" w:after="0"/>
        <w:ind w:left="6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44"/>
        <w:gridCol w:w="9791"/>
      </w:tblGrid>
      <w:tr>
        <w:trPr/>
        <w:tc>
          <w:tcPr>
            <w:tcW w:w="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791" w:type="dxa"/>
            <w:tcBorders/>
            <w:vAlign w:val="center"/>
          </w:tcPr>
          <w:p>
            <w:pPr>
              <w:pStyle w:val="TableContents"/>
              <w:bidi w:val="0"/>
              <w:spacing w:before="0" w:after="283"/>
              <w:jc w:val="both"/>
              <w:rPr/>
            </w:pPr>
            <w:r>
              <w:rPr/>
              <w:t>“</w:t>
            </w:r>
            <w:r>
              <w:rPr>
                <w:rFonts w:ascii="Times New Roman;Times;Serif" w:hAnsi="Times New Roman;Times;Serif"/>
                <w:b/>
                <w:sz w:val="20"/>
              </w:rPr>
              <w:t>Share Award</w:t>
            </w:r>
            <w:r>
              <w:rPr>
                <w:rFonts w:ascii="Times New Roman;Times;Serif" w:hAnsi="Times New Roman;Times;Serif"/>
                <w:sz w:val="20"/>
              </w:rPr>
              <w:t>” – Any Restricted Share or Restricted Share Unit.</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p>
        </w:tc>
        <w:tc>
          <w:tcPr>
            <w:tcW w:w="9996" w:type="dxa"/>
            <w:tcBorders/>
            <w:vAlign w:val="center"/>
          </w:tcPr>
          <w:p>
            <w:pPr>
              <w:pStyle w:val="TableContents"/>
              <w:bidi w:val="0"/>
              <w:spacing w:before="0" w:after="283"/>
              <w:jc w:val="both"/>
              <w:rPr/>
            </w:pPr>
            <w:r>
              <w:rPr/>
              <w:t>“</w:t>
            </w:r>
            <w:r>
              <w:rPr>
                <w:rFonts w:ascii="Times New Roman;Times;Serif" w:hAnsi="Times New Roman;Times;Serif"/>
                <w:b/>
                <w:sz w:val="20"/>
              </w:rPr>
              <w:t xml:space="preserve">Section 3(i)” </w:t>
            </w:r>
            <w:r>
              <w:rPr>
                <w:rFonts w:ascii="Times New Roman;Times;Serif" w:hAnsi="Times New Roman;Times;Serif"/>
                <w:sz w:val="20"/>
              </w:rPr>
              <w:t>means that certain Section 3(i) of the Tax Ordinance, and any regulations, rules, orders or procedures promulgated thereunder, all as amended.</w:t>
            </w:r>
          </w:p>
        </w:tc>
      </w:tr>
    </w:tbl>
    <w:p>
      <w:pPr>
        <w:pStyle w:val="TextBody"/>
        <w:bidi w:val="0"/>
        <w:spacing w:before="0" w:after="0"/>
        <w:ind w:left="0" w:right="0" w:firstLine="32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w:t>
            </w:r>
          </w:p>
        </w:tc>
        <w:tc>
          <w:tcPr>
            <w:tcW w:w="5825" w:type="dxa"/>
            <w:tcBorders/>
            <w:vAlign w:val="center"/>
          </w:tcPr>
          <w:p>
            <w:pPr>
              <w:pStyle w:val="TableContents"/>
              <w:bidi w:val="0"/>
              <w:spacing w:before="0" w:after="283"/>
              <w:jc w:val="both"/>
              <w:rPr/>
            </w:pPr>
            <w:r>
              <w:rPr/>
              <w:t>“</w:t>
            </w:r>
            <w:r>
              <w:rPr>
                <w:rFonts w:ascii="Times New Roman;Times;Serif" w:hAnsi="Times New Roman;Times;Serif"/>
                <w:b/>
                <w:sz w:val="20"/>
              </w:rPr>
              <w:t xml:space="preserve">Section 3(i) Award” </w:t>
            </w:r>
            <w:r>
              <w:rPr>
                <w:rFonts w:ascii="Times New Roman;Times;Serif" w:hAnsi="Times New Roman;Times;Serif"/>
                <w:sz w:val="20"/>
              </w:rPr>
              <w:t>means an Award granted pursuant to Section 3(i).</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w:t>
            </w:r>
          </w:p>
        </w:tc>
        <w:tc>
          <w:tcPr>
            <w:tcW w:w="9939" w:type="dxa"/>
            <w:tcBorders/>
            <w:vAlign w:val="center"/>
          </w:tcPr>
          <w:p>
            <w:pPr>
              <w:pStyle w:val="TableContents"/>
              <w:bidi w:val="0"/>
              <w:spacing w:before="0" w:after="283"/>
              <w:jc w:val="both"/>
              <w:rPr/>
            </w:pPr>
            <w:r>
              <w:rPr/>
              <w:t>“</w:t>
            </w:r>
            <w:r>
              <w:rPr>
                <w:rFonts w:ascii="Times New Roman;Times;Serif" w:hAnsi="Times New Roman;Times;Serif"/>
                <w:b/>
                <w:sz w:val="20"/>
              </w:rPr>
              <w:t xml:space="preserve">Section 102” </w:t>
            </w:r>
            <w:r>
              <w:rPr>
                <w:rFonts w:ascii="Times New Roman;Times;Serif" w:hAnsi="Times New Roman;Times;Serif"/>
                <w:sz w:val="20"/>
              </w:rPr>
              <w:t>means that certain Section 102 of the Tax Ordinance, and any regulations, rules, orders or procedures promulgated thereunder, including the Income Tax Rules (Tax Relief for Issuance of Shares to Employees), 2003, all as amended.</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bb)</w:t>
            </w:r>
          </w:p>
        </w:tc>
        <w:tc>
          <w:tcPr>
            <w:tcW w:w="9908" w:type="dxa"/>
            <w:tcBorders/>
            <w:vAlign w:val="center"/>
          </w:tcPr>
          <w:p>
            <w:pPr>
              <w:pStyle w:val="TableContents"/>
              <w:bidi w:val="0"/>
              <w:spacing w:before="0" w:after="283"/>
              <w:jc w:val="both"/>
              <w:rPr/>
            </w:pPr>
            <w:r>
              <w:rPr/>
              <w:t>“</w:t>
            </w:r>
            <w:r>
              <w:rPr>
                <w:rFonts w:ascii="Times New Roman;Times;Serif" w:hAnsi="Times New Roman;Times;Serif"/>
                <w:b/>
                <w:sz w:val="20"/>
              </w:rPr>
              <w:t xml:space="preserve">Section 102 Trustee Award” </w:t>
            </w:r>
            <w:r>
              <w:rPr>
                <w:rFonts w:ascii="Times New Roman;Times;Serif" w:hAnsi="Times New Roman;Times;Serif"/>
                <w:sz w:val="20"/>
              </w:rPr>
              <w:t>means an Award that by its terms qualifies and is intended to qualify under the provisions of Section 102(b) of the Tax Ordinance (including the Section 102(b) Route Election (as defined below)), as either:</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w:t>
            </w:r>
          </w:p>
        </w:tc>
        <w:tc>
          <w:tcPr>
            <w:tcW w:w="9915" w:type="dxa"/>
            <w:tcBorders/>
            <w:vAlign w:val="center"/>
          </w:tcPr>
          <w:p>
            <w:pPr>
              <w:pStyle w:val="TableContents"/>
              <w:bidi w:val="0"/>
              <w:spacing w:before="0" w:after="283"/>
              <w:jc w:val="both"/>
              <w:rPr/>
            </w:pPr>
            <w:r>
              <w:rPr/>
              <w:t>“</w:t>
            </w:r>
            <w:r>
              <w:rPr>
                <w:rFonts w:ascii="Times New Roman;Times;Serif" w:hAnsi="Times New Roman;Times;Serif"/>
                <w:b/>
                <w:sz w:val="20"/>
              </w:rPr>
              <w:t xml:space="preserve">Ordinary Income Award Through a Trustee” </w:t>
            </w:r>
            <w:r>
              <w:rPr>
                <w:rFonts w:ascii="Times New Roman;Times;Serif" w:hAnsi="Times New Roman;Times;Serif"/>
                <w:sz w:val="20"/>
              </w:rPr>
              <w:t>for the special tax treatment under Section 102(b)(1) and the “Ordinary Income Route”, or</w:t>
            </w:r>
          </w:p>
        </w:tc>
      </w:tr>
    </w:tbl>
    <w:p>
      <w:pPr>
        <w:pStyle w:val="TextBody"/>
        <w:bidi w:val="0"/>
        <w:spacing w:before="0" w:after="0"/>
        <w:ind w:left="680" w:right="0" w:hanging="360"/>
        <w:jc w:val="both"/>
        <w:rPr>
          <w:caps w:val="false"/>
          <w:smallCaps w:val="false"/>
        </w:rPr>
      </w:pPr>
      <w:r>
        <w:rPr>
          <w:caps w:val="false"/>
          <w:smallCaps w:val="false"/>
        </w:rPr>
        <w:t> </w:t>
      </w:r>
    </w:p>
    <w:tbl>
      <w:tblPr>
        <w:tblW w:w="10098" w:type="dxa"/>
        <w:jc w:val="left"/>
        <w:tblInd w:w="0" w:type="dxa"/>
        <w:tblLayout w:type="fixed"/>
        <w:tblCellMar>
          <w:top w:w="0" w:type="dxa"/>
          <w:left w:w="0" w:type="dxa"/>
          <w:bottom w:w="0" w:type="dxa"/>
          <w:right w:w="0" w:type="dxa"/>
        </w:tblCellMar>
      </w:tblPr>
      <w:tblGrid>
        <w:gridCol w:w="38"/>
        <w:gridCol w:w="14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20" w:type="dxa"/>
            <w:tcBorders/>
            <w:vAlign w:val="center"/>
          </w:tcPr>
          <w:p>
            <w:pPr>
              <w:pStyle w:val="TableContents"/>
              <w:bidi w:val="0"/>
              <w:spacing w:before="0" w:after="283"/>
              <w:jc w:val="both"/>
              <w:rPr/>
            </w:pPr>
            <w:r>
              <w:rPr/>
              <w:t>“</w:t>
            </w:r>
            <w:r>
              <w:rPr>
                <w:rFonts w:ascii="Times New Roman;Times;Serif" w:hAnsi="Times New Roman;Times;Serif"/>
                <w:b/>
                <w:sz w:val="20"/>
              </w:rPr>
              <w:t xml:space="preserve">Capital Gain Award Through a Trustee” </w:t>
            </w:r>
            <w:r>
              <w:rPr>
                <w:rFonts w:ascii="Times New Roman;Times;Serif" w:hAnsi="Times New Roman;Times;Serif"/>
                <w:sz w:val="20"/>
              </w:rPr>
              <w:t>for the special tax treatment under Section 102(b)(2) and the “Capital Route”.</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0005" w:type="dxa"/>
            <w:tcBorders/>
            <w:vAlign w:val="center"/>
          </w:tcPr>
          <w:p>
            <w:pPr>
              <w:pStyle w:val="TableContents"/>
              <w:bidi w:val="0"/>
              <w:spacing w:before="0" w:after="283"/>
              <w:jc w:val="both"/>
              <w:rPr/>
            </w:pPr>
            <w:r>
              <w:rPr/>
              <w:t>“</w:t>
            </w:r>
            <w:r>
              <w:rPr>
                <w:rFonts w:ascii="Times New Roman;Times;Serif" w:hAnsi="Times New Roman;Times;Serif"/>
                <w:b/>
                <w:sz w:val="20"/>
              </w:rPr>
              <w:t xml:space="preserve">Section 102(b) Route Election” </w:t>
            </w:r>
            <w:r>
              <w:rPr>
                <w:rFonts w:ascii="Times New Roman;Times;Serif" w:hAnsi="Times New Roman;Times;Serif"/>
                <w:sz w:val="20"/>
              </w:rPr>
              <w:t>means the right of the Company to choose either the “Capital Route” (as set under Section 102(b)(2)), or the “Ordinary Income Route” (as set under Section 102(b)(1)), but subject to the provisions of Section 102(g) of the Tax Ordinance, as further specified in Section 6 below.</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dd)</w:t>
            </w:r>
          </w:p>
        </w:tc>
        <w:tc>
          <w:tcPr>
            <w:tcW w:w="9908" w:type="dxa"/>
            <w:tcBorders/>
            <w:vAlign w:val="center"/>
          </w:tcPr>
          <w:p>
            <w:pPr>
              <w:pStyle w:val="TableContents"/>
              <w:bidi w:val="0"/>
              <w:spacing w:before="0" w:after="283"/>
              <w:jc w:val="both"/>
              <w:rPr/>
            </w:pPr>
            <w:r>
              <w:rPr/>
              <w:t>“</w:t>
            </w:r>
            <w:r>
              <w:rPr>
                <w:rFonts w:ascii="Times New Roman;Times;Serif" w:hAnsi="Times New Roman;Times;Serif"/>
                <w:b/>
                <w:sz w:val="20"/>
              </w:rPr>
              <w:t xml:space="preserve">Section 102 Non-Trustee Award” </w:t>
            </w:r>
            <w:r>
              <w:rPr>
                <w:rFonts w:ascii="Times New Roman;Times;Serif" w:hAnsi="Times New Roman;Times;Serif"/>
                <w:sz w:val="20"/>
              </w:rPr>
              <w:t>means an Award that by its terms does not qualify or is not intended to qualify as a Section 102 Trustee Award and is granted not through a trustee under the terms of Section 102(c) of the Tax Ordinance.</w:t>
            </w:r>
          </w:p>
        </w:tc>
      </w:tr>
    </w:tbl>
    <w:p>
      <w:pPr>
        <w:pStyle w:val="TextBody"/>
        <w:bidi w:val="0"/>
        <w:spacing w:before="0" w:after="0"/>
        <w:ind w:left="680" w:right="0" w:hanging="36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26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ee)</w:t>
            </w:r>
          </w:p>
        </w:tc>
        <w:tc>
          <w:tcPr>
            <w:tcW w:w="5915" w:type="dxa"/>
            <w:tcBorders/>
            <w:vAlign w:val="center"/>
          </w:tcPr>
          <w:p>
            <w:pPr>
              <w:pStyle w:val="TableContents"/>
              <w:bidi w:val="0"/>
              <w:spacing w:before="0" w:after="283"/>
              <w:jc w:val="both"/>
              <w:rPr/>
            </w:pPr>
            <w:r>
              <w:rPr/>
              <w:t>“</w:t>
            </w:r>
            <w:r>
              <w:rPr>
                <w:rFonts w:ascii="Times New Roman;Times;Serif" w:hAnsi="Times New Roman;Times;Serif"/>
                <w:b/>
                <w:sz w:val="20"/>
              </w:rPr>
              <w:t xml:space="preserve">Service Provider” </w:t>
            </w:r>
            <w:r>
              <w:rPr>
                <w:rFonts w:ascii="Times New Roman;Times;Serif" w:hAnsi="Times New Roman;Times;Serif"/>
                <w:sz w:val="20"/>
              </w:rPr>
              <w:t>means an Employee, officer, Director or Consultant.</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ff)</w:t>
            </w:r>
          </w:p>
        </w:tc>
        <w:tc>
          <w:tcPr>
            <w:tcW w:w="9972" w:type="dxa"/>
            <w:tcBorders/>
            <w:vAlign w:val="center"/>
          </w:tcPr>
          <w:p>
            <w:pPr>
              <w:pStyle w:val="TableContents"/>
              <w:bidi w:val="0"/>
              <w:spacing w:before="0" w:after="283"/>
              <w:jc w:val="both"/>
              <w:rPr/>
            </w:pPr>
            <w:r>
              <w:rPr/>
              <w:t>“</w:t>
            </w:r>
            <w:r>
              <w:rPr>
                <w:rFonts w:ascii="Times New Roman;Times;Serif" w:hAnsi="Times New Roman;Times;Serif"/>
                <w:b/>
                <w:sz w:val="20"/>
              </w:rPr>
              <w:t xml:space="preserve">Share(s)” </w:t>
            </w:r>
            <w:r>
              <w:rPr>
                <w:rFonts w:ascii="Times New Roman;Times;Serif" w:hAnsi="Times New Roman;Times;Serif"/>
                <w:sz w:val="20"/>
              </w:rPr>
              <w:t>means an Ordinary Share, nominal value NIS 0.01 of the Company, as adjusted in accordance with Section 14 of the Plan.</w:t>
            </w:r>
          </w:p>
        </w:tc>
      </w:tr>
    </w:tbl>
    <w:p>
      <w:pPr>
        <w:pStyle w:val="TextBody"/>
        <w:bidi w:val="0"/>
        <w:spacing w:before="0" w:after="0"/>
        <w:ind w:left="680" w:right="0" w:hanging="36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29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gg)</w:t>
            </w:r>
          </w:p>
        </w:tc>
        <w:tc>
          <w:tcPr>
            <w:tcW w:w="7610" w:type="dxa"/>
            <w:tcBorders/>
            <w:vAlign w:val="center"/>
          </w:tcPr>
          <w:p>
            <w:pPr>
              <w:pStyle w:val="TableContents"/>
              <w:bidi w:val="0"/>
              <w:spacing w:before="0" w:after="283"/>
              <w:jc w:val="both"/>
              <w:rPr/>
            </w:pPr>
            <w:r>
              <w:rPr/>
              <w:t>“</w:t>
            </w:r>
            <w:r>
              <w:rPr>
                <w:rFonts w:ascii="Times New Roman;Times;Serif" w:hAnsi="Times New Roman;Times;Serif"/>
                <w:b/>
                <w:sz w:val="20"/>
              </w:rPr>
              <w:t xml:space="preserve">Tax Ordinance” </w:t>
            </w:r>
            <w:r>
              <w:rPr>
                <w:rFonts w:ascii="Times New Roman;Times;Serif" w:hAnsi="Times New Roman;Times;Serif"/>
                <w:sz w:val="20"/>
              </w:rPr>
              <w:t>means the Israeli Income Tax Ordinance (New Version), 1961, as amended.</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hh)</w:t>
            </w:r>
          </w:p>
        </w:tc>
        <w:tc>
          <w:tcPr>
            <w:tcW w:w="9902" w:type="dxa"/>
            <w:tcBorders/>
            <w:vAlign w:val="center"/>
          </w:tcPr>
          <w:p>
            <w:pPr>
              <w:pStyle w:val="TableContents"/>
              <w:bidi w:val="0"/>
              <w:spacing w:before="0" w:after="283"/>
              <w:jc w:val="both"/>
              <w:rPr/>
            </w:pPr>
            <w:r>
              <w:rPr/>
              <w:t>“</w:t>
            </w:r>
            <w:r>
              <w:rPr>
                <w:rFonts w:ascii="Times New Roman;Times;Serif" w:hAnsi="Times New Roman;Times;Serif"/>
                <w:b/>
                <w:sz w:val="20"/>
              </w:rPr>
              <w:t xml:space="preserve">Trust Agreement” </w:t>
            </w:r>
            <w:r>
              <w:rPr>
                <w:rFonts w:ascii="Times New Roman;Times;Serif" w:hAnsi="Times New Roman;Times;Serif"/>
                <w:sz w:val="20"/>
              </w:rPr>
              <w:t>means a written agreement between the Company and the Trustee, which sets forth the terms and conditions of the trust and is in accordance with the provisions of Section 102(b).</w:t>
            </w:r>
          </w:p>
        </w:tc>
      </w:tr>
    </w:tbl>
    <w:p>
      <w:pPr>
        <w:pStyle w:val="TextBody"/>
        <w:bidi w:val="0"/>
        <w:spacing w:before="0" w:after="0"/>
        <w:ind w:left="680" w:right="0" w:hanging="360"/>
        <w:jc w:val="both"/>
        <w:rPr>
          <w:caps w:val="false"/>
          <w:smallCaps w:val="false"/>
        </w:rPr>
      </w:pPr>
      <w:r>
        <w:rPr>
          <w:caps w:val="false"/>
          <w:smallCaps w:val="false"/>
        </w:rPr>
        <w:t> </w:t>
      </w:r>
    </w:p>
    <w:p>
      <w:pPr>
        <w:pStyle w:val="TextBody"/>
        <w:bidi w:val="0"/>
        <w:spacing w:before="0" w:after="0"/>
        <w:ind w:left="6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0007" w:type="dxa"/>
            <w:tcBorders/>
            <w:vAlign w:val="center"/>
          </w:tcPr>
          <w:p>
            <w:pPr>
              <w:pStyle w:val="TableContents"/>
              <w:bidi w:val="0"/>
              <w:spacing w:before="0" w:after="283"/>
              <w:jc w:val="both"/>
              <w:rPr/>
            </w:pPr>
            <w:r>
              <w:rPr/>
              <w:t>“</w:t>
            </w:r>
            <w:r>
              <w:rPr>
                <w:rFonts w:ascii="Times New Roman;Times;Serif" w:hAnsi="Times New Roman;Times;Serif"/>
                <w:b/>
                <w:sz w:val="20"/>
              </w:rPr>
              <w:t xml:space="preserve">Trustee’’ </w:t>
            </w:r>
            <w:r>
              <w:rPr>
                <w:rFonts w:ascii="Times New Roman;Times;Serif" w:hAnsi="Times New Roman;Times;Serif"/>
                <w:sz w:val="20"/>
              </w:rPr>
              <w:t>means a person or an entity, appointed by the Company and approved in accordance with the provisions of Section 102, to hold in trust on behalf of the Grantees the granted Awards, or upon exercise thereof, the Shares, as well as any Additional Rights granted in connection therewith, in accordance with the provisions of Section 102.</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jj)</w:t>
            </w:r>
          </w:p>
        </w:tc>
        <w:tc>
          <w:tcPr>
            <w:tcW w:w="10011" w:type="dxa"/>
            <w:tcBorders/>
            <w:vAlign w:val="center"/>
          </w:tcPr>
          <w:p>
            <w:pPr>
              <w:pStyle w:val="TableContents"/>
              <w:bidi w:val="0"/>
              <w:spacing w:before="0" w:after="283"/>
              <w:jc w:val="both"/>
              <w:rPr/>
            </w:pPr>
            <w:r>
              <w:rPr/>
              <w:t>“</w:t>
            </w:r>
            <w:r>
              <w:rPr>
                <w:rFonts w:ascii="Times New Roman;Times;Serif" w:hAnsi="Times New Roman;Times;Serif"/>
                <w:b/>
                <w:sz w:val="20"/>
                <w:u w:val="single"/>
              </w:rPr>
              <w:t>Repricing</w:t>
            </w:r>
            <w:r>
              <w:rPr>
                <w:rFonts w:ascii="Times New Roman;Times;Serif" w:hAnsi="Times New Roman;Times;Serif"/>
                <w:caps w:val="false"/>
                <w:smallCaps w:val="false"/>
                <w:strike w:val="false"/>
                <w:dstrike w:val="false"/>
                <w:sz w:val="20"/>
                <w:u w:val="none"/>
                <w:effect w:val="none"/>
              </w:rPr>
              <w:t xml:space="preserve">” </w:t>
            </w:r>
            <w:r>
              <w:rPr>
                <w:rFonts w:ascii="Times New Roman;Times;Serif" w:hAnsi="Times New Roman;Times;Serif"/>
                <w:sz w:val="20"/>
              </w:rPr>
              <w:t>shall mean (i) reducing the exercise price of an Award, (ii) cancel outstanding Awards in exchange for cash, other equity awards or Awards with an Exercise Price that is less than the Exercise Price of the original Awards, or (iii) cancel outstanding Awards with an Exercise Price that is less than the then current Fair Market Value of a Share in exchange for other equity awards, cash or other property.</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kk)</w:t>
            </w:r>
          </w:p>
        </w:tc>
        <w:tc>
          <w:tcPr>
            <w:tcW w:w="9887" w:type="dxa"/>
            <w:tcBorders/>
            <w:vAlign w:val="center"/>
          </w:tcPr>
          <w:p>
            <w:pPr>
              <w:pStyle w:val="TableContents"/>
              <w:bidi w:val="0"/>
              <w:spacing w:before="0" w:after="283"/>
              <w:jc w:val="both"/>
              <w:rPr/>
            </w:pPr>
            <w:r>
              <w:rPr/>
              <w:t>“</w:t>
            </w:r>
            <w:r>
              <w:rPr>
                <w:rFonts w:ascii="Times New Roman;Times;Serif" w:hAnsi="Times New Roman;Times;Serif"/>
                <w:b/>
                <w:sz w:val="20"/>
              </w:rPr>
              <w:t>Restricted Share(s</w:t>
            </w:r>
            <w:r>
              <w:rPr>
                <w:rFonts w:ascii="Times New Roman;Times;Serif" w:hAnsi="Times New Roman;Times;Serif"/>
                <w:sz w:val="20"/>
              </w:rPr>
              <w:t xml:space="preserve">)”– </w:t>
            </w:r>
            <w:r>
              <w:rPr>
                <w:rFonts w:ascii="Times New Roman;Times;Serif" w:hAnsi="Times New Roman;Times;Serif"/>
                <w:sz w:val="20"/>
                <w:u w:val="single"/>
              </w:rPr>
              <w:t>means a Share subject to certain restrictions, subject to the provisions of this Plan and the applicable Award Agreement.</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ll)</w:t>
            </w:r>
          </w:p>
        </w:tc>
        <w:tc>
          <w:tcPr>
            <w:tcW w:w="9989" w:type="dxa"/>
            <w:tcBorders/>
            <w:vAlign w:val="center"/>
          </w:tcPr>
          <w:p>
            <w:pPr>
              <w:pStyle w:val="TableContents"/>
              <w:bidi w:val="0"/>
              <w:spacing w:before="0" w:after="283"/>
              <w:jc w:val="both"/>
              <w:rPr/>
            </w:pPr>
            <w:r>
              <w:rPr>
                <w:u w:val="single"/>
              </w:rPr>
              <w:t>“</w:t>
            </w:r>
            <w:r>
              <w:rPr>
                <w:rFonts w:ascii="Times New Roman;Times;Serif" w:hAnsi="Times New Roman;Times;Serif"/>
                <w:b/>
                <w:sz w:val="20"/>
                <w:u w:val="single"/>
              </w:rPr>
              <w:t xml:space="preserve">Restricted Share Unit(s)”– </w:t>
            </w:r>
            <w:r>
              <w:rPr>
                <w:rFonts w:ascii="Times New Roman;Times;Serif" w:hAnsi="Times New Roman;Times;Serif"/>
                <w:sz w:val="20"/>
                <w:u w:val="single"/>
              </w:rPr>
              <w:t>means a contingent right to be issued one Share upon the applicable vesting date, subject to the provisions of this</w:t>
            </w:r>
            <w:r>
              <w:rPr>
                <w:rFonts w:ascii="Times New Roman;Times;Serif" w:hAnsi="Times New Roman;Times;Serif"/>
                <w:sz w:val="20"/>
              </w:rPr>
              <w:t xml:space="preserve"> Plan and the applicable Award Agreement.</w:t>
            </w:r>
          </w:p>
        </w:tc>
      </w:tr>
    </w:tbl>
    <w:p>
      <w:pPr>
        <w:pStyle w:val="TextBody"/>
        <w:bidi w:val="0"/>
        <w:spacing w:before="0" w:after="0"/>
        <w:ind w:left="34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Interpretation</w:t>
            </w:r>
            <w:r>
              <w:rPr>
                <w:rFonts w:ascii="Times New Roman;Times;Serif" w:hAnsi="Times New Roman;Times;Serif"/>
                <w:sz w:val="20"/>
              </w:rPr>
              <w:t>: Unless the context otherwise indicates, words expressed in the singular shall include the plural and vice versa and the use of the neuter, masculine, or feminine gender is for convenience only and shall be deemed to mean and include the neuter, masculine or feminine gender, as appropriate.</w:t>
            </w:r>
          </w:p>
        </w:tc>
      </w:tr>
    </w:tbl>
    <w:p>
      <w:pPr>
        <w:pStyle w:val="TextBody"/>
        <w:bidi w:val="0"/>
        <w:spacing w:before="0" w:after="0"/>
        <w:ind w:left="0" w:right="0" w:hanging="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Administration</w:t>
            </w:r>
            <w:r>
              <w:rPr>
                <w:rFonts w:ascii="Times New Roman;Times;Serif" w:hAnsi="Times New Roman;Times;Serif"/>
                <w:sz w:val="20"/>
              </w:rPr>
              <w:t>:</w:t>
            </w:r>
          </w:p>
        </w:tc>
      </w:tr>
    </w:tbl>
    <w:p>
      <w:pPr>
        <w:pStyle w:val="TextBody"/>
        <w:bidi w:val="0"/>
        <w:spacing w:before="0" w:after="0"/>
        <w:ind w:left="70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Committee shall have the power to administer the Plan. Notwithstanding the above, the Board shall automatically have a residual authority if no Committee shall be constituted or if such Committee shall cease to operate for any reason whatsoever.</w:t>
            </w:r>
          </w:p>
        </w:tc>
      </w:tr>
    </w:tbl>
    <w:p>
      <w:pPr>
        <w:pStyle w:val="TextBody"/>
        <w:bidi w:val="0"/>
        <w:spacing w:before="0" w:after="0"/>
        <w:ind w:left="70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and conditions of this Plan, and subject to the approval of any relevant authorities and to applicable laws, the Committee shall have full power and authority, at all times, to: (i) select the Service Providers to whom Awards may from time to time be granted hereunder, and to grant the Awards to the said Service Providers; (ii) determine the terms and provisions of the Award Agreements (which need not be identical) including, but not limited to, the type of Award to be granted, the number of Shares to be covered by an Award, the Exercise Price, the times or conditions upon which and the extent to which an Award shall be vested and may be exercised and the nature and duration of any restrictions applicable to the Awards or the underlying Shares, including as to transferability or exercise of the same; (iii) accelerate the right of an Grantee to exercise, in whole or in part, any Award, or extend such right; (iv) amend the terms of any outstanding Award in any manner to achieve Repricing; (v) approve forms of Award Agreement for use under the Plan; (vi) make a Section 102(b) Route Election (subject to the limitations set under Section 102(g)); (vii) interpret and construe the provisions of the Plan and the Award Agreements; (viii) determine the Fair Market Value of the Shares; (ix) adopt sub-plans, Plan addenda and appendices to the Plan as the Committee deems desirable, to accommodate foreign laws, regulations and practice. The provisions of such sub-plans, Plan addenda and appendices to the Plan may take precedence over other provisions of the Plan, but unless otherwise superseded by the terms of such sub-plans, Plan addenda and appendices to the Plan, the provisions of the Plan shall govern their operation; (x) exercise such powers and perform such acts as are deemed necessary or expedient to promote the best interests of the Company with respect to the Plan, including but not limited to prescribe, amend and rescind any rules and regulations relating to the Plan (including rules and regulations relating to sub-plans. Plan addenda and appendices to the Plan established for the purpose of satisfying applicable foreign laws); and (xi) take all other action and determine any other matter which is necessary or desirable for, or incidental to, the administration of the Plan.</w:t>
            </w:r>
          </w:p>
        </w:tc>
      </w:tr>
    </w:tbl>
    <w:p>
      <w:pPr>
        <w:pStyle w:val="TextBody"/>
        <w:bidi w:val="0"/>
        <w:spacing w:before="0" w:after="0"/>
        <w:ind w:left="70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interpretation and construction by the Committee of any provision of the Plan (including sub-plans, Plan addenda and appendices to the Plan), the Award Agreement or of any Award thereunder shall be final and conclusive, unless otherwise determined by the Board.</w:t>
            </w:r>
          </w:p>
        </w:tc>
      </w:tr>
    </w:tbl>
    <w:p>
      <w:pPr>
        <w:pStyle w:val="TextBody"/>
        <w:bidi w:val="0"/>
        <w:spacing w:before="0" w:after="0"/>
        <w:ind w:left="0" w:right="0" w:hanging="0"/>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Reserved Shares</w:t>
            </w:r>
            <w:r>
              <w:rPr>
                <w:rFonts w:ascii="Times New Roman;Times;Serif" w:hAnsi="Times New Roman;Times;Serif"/>
                <w:sz w:val="20"/>
              </w:rPr>
              <w:t>:</w:t>
            </w:r>
          </w:p>
        </w:tc>
      </w:tr>
    </w:tbl>
    <w:p>
      <w:pPr>
        <w:pStyle w:val="TextBody"/>
        <w:bidi w:val="0"/>
        <w:spacing w:before="0" w:after="0"/>
        <w:ind w:left="70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33" w:type="dxa"/>
            <w:tcBorders/>
            <w:vAlign w:val="center"/>
          </w:tcPr>
          <w:p>
            <w:pPr>
              <w:pStyle w:val="TableContents"/>
              <w:bidi w:val="0"/>
              <w:spacing w:before="0" w:after="283"/>
              <w:jc w:val="both"/>
              <w:rPr/>
            </w:pPr>
            <w:r>
              <w:rPr>
                <w:rFonts w:ascii="Times New Roman;Times;Serif" w:hAnsi="Times New Roman;Times;Serif"/>
                <w:sz w:val="20"/>
              </w:rPr>
              <w:t>The Company, during the term of this Plan, shall reserve and keep available such number of Shares as shall be sufficient to satisfy</w:t>
            </w:r>
            <w:r>
              <w:rPr>
                <w:rFonts w:cs="Times New Roman;Times;Serif"/>
                <w:szCs w:val="20"/>
                <w:rtl w:val="true"/>
              </w:rPr>
              <w:t>׳</w:t>
            </w:r>
            <w:r>
              <w:rPr>
                <w:rFonts w:cs="Times New Roman;Times;Serif"/>
                <w:szCs w:val="20"/>
              </w:rPr>
              <w:t xml:space="preserve"> </w:t>
            </w:r>
            <w:r>
              <w:rPr>
                <w:rFonts w:ascii="Times New Roman;Times;Serif" w:hAnsi="Times New Roman;Times;Serif"/>
                <w:sz w:val="20"/>
              </w:rPr>
              <w:t>the requirements of the Plan. The Shares subject to the Plan may be either authorized but unissued Shares or reacquired Shares, subject to applicable laws.</w:t>
            </w:r>
          </w:p>
        </w:tc>
      </w:tr>
    </w:tbl>
    <w:p>
      <w:pPr>
        <w:pStyle w:val="TextBody"/>
        <w:bidi w:val="0"/>
        <w:spacing w:before="0" w:after="0"/>
        <w:ind w:left="700" w:right="0" w:hanging="340"/>
        <w:jc w:val="both"/>
        <w:rPr>
          <w:caps w:val="false"/>
          <w:smallCaps w:val="false"/>
        </w:rPr>
      </w:pPr>
      <w:r>
        <w:rPr>
          <w:caps w:val="false"/>
          <w:smallCaps w:val="false"/>
        </w:rPr>
        <w:t> </w:t>
      </w:r>
    </w:p>
    <w:p>
      <w:pPr>
        <w:pStyle w:val="TextBody"/>
        <w:bidi w:val="0"/>
        <w:spacing w:before="0" w:after="0"/>
        <w:ind w:left="700" w:right="0" w:hanging="3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0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Shares under the Plan, in respect of which the right hereunder of an Grantee to purchase the same shall for any reason terminate, become cancelled, expire or otherwise cease to exist, shall again be available for grant through Awards under the Plan (unless the Plan has terminated); provided, however, that any Shares not issued or tendered to the Company related to the payment of the Exercise Price of an Award or tax withholding obligations as provided under Section 18 shall not be available for grant through Awards under the Plan. No fraction of Shares may be issued under the Plan.</w:t>
            </w:r>
          </w:p>
        </w:tc>
      </w:tr>
    </w:tbl>
    <w:p>
      <w:pPr>
        <w:pStyle w:val="TextBody"/>
        <w:bidi w:val="0"/>
        <w:spacing w:before="0" w:after="0"/>
        <w:ind w:left="70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at any time during the term of the Plan, increase the number of Shares available for grant under the Plan. The approval of the Company’s shareholders of such increase shall be obtained if so required under applicable laws and/or the Company’s incorporation documents and/or any shareholders agreement, as shall be in effect from time to time.</w:t>
            </w:r>
          </w:p>
        </w:tc>
      </w:tr>
    </w:tbl>
    <w:p>
      <w:pPr>
        <w:pStyle w:val="TextBody"/>
        <w:bidi w:val="0"/>
        <w:spacing w:before="0" w:after="0"/>
        <w:ind w:left="34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9"/>
        <w:gridCol w:w="10038"/>
      </w:tblGrid>
      <w:tr>
        <w:trPr/>
        <w:tc>
          <w:tcPr>
            <w:tcW w:w="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Section 102(b) Route Election</w:t>
            </w:r>
            <w:r>
              <w:rPr>
                <w:rFonts w:ascii="Times New Roman;Times;Serif" w:hAnsi="Times New Roman;Times;Serif"/>
                <w:sz w:val="20"/>
              </w:rPr>
              <w:t xml:space="preserve">: No Section 102 Trustee Awards may be granted under this Plan to any eligible Grantee, unless and until, the Company’s election of the type of Section 102 Trustee Awards either as “Ordinary Income Award Through a Trustee” or as “Capital Gain Award Through a Trustee” is appropriately filed with the Income Tax Authorities. The Section 102(b) Route Election shall obligate the Company to grant </w:t>
            </w:r>
            <w:r>
              <w:rPr>
                <w:rFonts w:ascii="Times New Roman;Times;Serif" w:hAnsi="Times New Roman;Times;Serif"/>
                <w:i/>
                <w:sz w:val="20"/>
              </w:rPr>
              <w:t>only</w:t>
            </w:r>
            <w:r>
              <w:rPr>
                <w:rFonts w:ascii="Times New Roman;Times;Serif" w:hAnsi="Times New Roman;Times;Serif"/>
                <w:sz w:val="20"/>
              </w:rPr>
              <w:t xml:space="preserve"> the type of Section 102 Trustee Award it has elected, and shall apply to all Grantees who were granted Section 102 Trustee Awards during the period indicated herein, to the extent required under and in accordance with the provisions of Section 102(g) of the Tax Ordinance and the applicable regulations. For avoidance of doubt, it is clarified that the Company does not obligate itself to file a Section 102(b) Route Election, and in any case, such Section 102(b) Route Election shall be at the sole discretion of the Company. It is further clarified that such Section 102(b) Route Election shall not prevent the Company from granting Section 102 Non-Trustee Awards simultaneously.</w:t>
            </w:r>
          </w:p>
        </w:tc>
      </w:tr>
    </w:tbl>
    <w:p>
      <w:pPr>
        <w:pStyle w:val="TextBody"/>
        <w:bidi w:val="0"/>
        <w:spacing w:before="0" w:after="0"/>
        <w:ind w:left="0" w:right="0" w:hanging="0"/>
        <w:jc w:val="both"/>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Eligible Grantees</w:t>
            </w:r>
            <w:r>
              <w:rPr>
                <w:rFonts w:ascii="Times New Roman;Times;Serif" w:hAnsi="Times New Roman;Times;Serif"/>
                <w:sz w:val="20"/>
              </w:rPr>
              <w:t>:</w:t>
            </w:r>
          </w:p>
        </w:tc>
      </w:tr>
    </w:tbl>
    <w:p>
      <w:pPr>
        <w:pStyle w:val="TextBody"/>
        <w:bidi w:val="0"/>
        <w:spacing w:before="0" w:after="0"/>
        <w:ind w:left="70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8"/>
        <w:gridCol w:w="10049"/>
      </w:tblGrid>
      <w:tr>
        <w:trPr/>
        <w:tc>
          <w:tcPr>
            <w:tcW w:w="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Subject to the terms and conditions of the Plan and any restriction imposed by applicable laws, Awards may be granted to Service Providers, as selected by the Committee in its sole discretion, </w:t>
            </w:r>
            <w:r>
              <w:rPr>
                <w:rFonts w:ascii="Times New Roman;Times;Serif" w:hAnsi="Times New Roman;Times;Serif"/>
                <w:i/>
                <w:sz w:val="20"/>
              </w:rPr>
              <w:t>provided however,</w:t>
            </w:r>
            <w:r>
              <w:rPr>
                <w:rFonts w:ascii="Times New Roman;Times;Serif" w:hAnsi="Times New Roman;Times;Serif"/>
                <w:sz w:val="20"/>
              </w:rPr>
              <w:t xml:space="preserve"> that, (i) Section 102 Trustee Awards and Section 102 Non-Trustee Awards may be granted only to Israeli Employees of the Company and any Affiliate thereof, and provided further that, such Affiliate corporation is an “employing company” within the meaning of Section 102(a) of the Tax Ordinance; and (ii) Section 3(i) Awards may be granted only to Israeli (a) Consultants; and/or (b) employees, Directors and/or officers of the Company or any Affiliate who are Controlling Shareholders prior to and/or after the issuance of the Shares underlying the Awards.</w:t>
            </w:r>
          </w:p>
        </w:tc>
      </w:tr>
    </w:tbl>
    <w:p>
      <w:pPr>
        <w:pStyle w:val="TextBody"/>
        <w:bidi w:val="0"/>
        <w:spacing w:before="0" w:after="0"/>
        <w:ind w:left="70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Eligibility to participate in the Plan does not confer any right to be granted with Awards under the Plan. Participation in the Plan is voluntary. The grant of an Award to a Service Provider hereunder, shall neither entitle such Service Provider to participate, nor disqualify him from participating, in any other grant of Awards pursuant to this Plan or any other share incentive or stock option plan of the Company or any Affiliate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17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Issuance of Awards</w:t>
            </w:r>
            <w:r>
              <w:rPr>
                <w:rFonts w:ascii="Times New Roman;Times;Serif" w:hAnsi="Times New Roman;Times;Serif"/>
                <w:sz w:val="20"/>
              </w:rPr>
              <w:t>:</w:t>
            </w:r>
          </w:p>
        </w:tc>
      </w:tr>
    </w:tbl>
    <w:p>
      <w:pPr>
        <w:pStyle w:val="TextBody"/>
        <w:bidi w:val="0"/>
        <w:spacing w:before="0" w:after="0"/>
        <w:ind w:left="70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5"/>
        <w:gridCol w:w="10052"/>
      </w:tblGrid>
      <w:tr>
        <w:trPr/>
        <w:tc>
          <w:tcPr>
            <w:tcW w:w="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Awards may be granted at any time after the Plan shall become effective as specified in Section 19 hereof, subject to obtaining all the necessary approvals (if any) from any regulatory body or governmental agency having jurisdiction over the Company and/or any Affiliate and/or any Grantee. In the case of Section 102 Trustee Awards, Awards may be granted only after the passage of thirty (30) days (or a shorter period as and if approved by the tax authorities) following the delivery by the Company to the appropriate Israeli Income Tax Authorities of a request for approval of the Plan and the Trustee according to Section 102. Notwithstanding the above, if within ninety (90) days of delivery of the abovementioned request, the tax officer notifies the Company of its decision not to approve the Plan, the Awards, which were intended to be granted as a Section 102 Trustee Awards, shall be deemed to be Section 102 Non-Trustee Awards, unless otherwise was approved by the tax officer. The date of grant of each Option shall be the date specified by the Committee at the time such Option is granted and subject to the applicable laws and regulations.</w:t>
            </w:r>
          </w:p>
        </w:tc>
      </w:tr>
    </w:tbl>
    <w:p>
      <w:pPr>
        <w:pStyle w:val="TextBody"/>
        <w:bidi w:val="0"/>
        <w:spacing w:before="0" w:after="0"/>
        <w:ind w:left="700" w:right="0" w:hanging="3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Award Agreement shall evidence each Award granted pursuant to the Plan. The Award Agreement shall state, </w:t>
            </w:r>
            <w:r>
              <w:rPr>
                <w:rFonts w:ascii="Times New Roman;Times;Serif" w:hAnsi="Times New Roman;Times;Serif"/>
                <w:i/>
                <w:sz w:val="20"/>
              </w:rPr>
              <w:t>inter alia,</w:t>
            </w:r>
            <w:r>
              <w:rPr>
                <w:rFonts w:ascii="Times New Roman;Times;Serif" w:hAnsi="Times New Roman;Times;Serif"/>
                <w:sz w:val="20"/>
              </w:rPr>
              <w:t xml:space="preserve"> the number of Shares covered thereby, the type of Award granted thereunder, the vesting schedule (including any performance-based vesting criteria) and any acceleration thereof, the Exercise Price and such other terms and conditions as the Committee in its discretion may prescribe, provided that they are consistent with this Plan and applicable laws.</w:t>
            </w:r>
          </w:p>
        </w:tc>
      </w:tr>
    </w:tbl>
    <w:p>
      <w:pPr>
        <w:pStyle w:val="TextBody"/>
        <w:bidi w:val="0"/>
        <w:spacing w:before="0" w:after="0"/>
        <w:ind w:left="340" w:right="0" w:hanging="340"/>
        <w:jc w:val="both"/>
        <w:rPr>
          <w:caps w:val="false"/>
          <w:smallCaps w:val="false"/>
        </w:rPr>
      </w:pPr>
      <w:r>
        <w:rPr>
          <w:caps w:val="false"/>
          <w:smallCaps w:val="false"/>
        </w:rPr>
        <w:t> </w:t>
      </w:r>
    </w:p>
    <w:p>
      <w:pPr>
        <w:pStyle w:val="TextBody"/>
        <w:bidi w:val="0"/>
        <w:spacing w:before="0" w:after="0"/>
        <w:ind w:left="340" w:right="0" w:hanging="3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340" w:right="0" w:hanging="34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Trustee</w:t>
            </w:r>
            <w:r>
              <w:rPr>
                <w:rFonts w:ascii="Times New Roman;Times;Serif" w:hAnsi="Times New Roman;Times;Serif"/>
                <w:sz w:val="20"/>
              </w:rPr>
              <w:t>: In connection with the grant of any Section 102 Trustee Awards, the following shall apply:</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9"/>
        <w:gridCol w:w="10048"/>
      </w:tblGrid>
      <w:tr>
        <w:trPr/>
        <w:tc>
          <w:tcPr>
            <w:tcW w:w="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contained in the Plan. Section 102 Trustee Awards, which shall be granted under the Plan and any Shares issued upon exercise of such Awards shall be issued to the Trustee who shall hold the same in trust for the benefit of the Grantee at least for the Lock-up Period. Upon the conclusion of the Lock-up Period and subject to any further period included in the Plan and/or in the Award Agreement, the Trustee may release Section 102 Trustee Awards or Shares issued upon exercise of such Awards to Grantee only after the Grantee’s full payment of his tax liability in connection therewith due pursuant to the Tax Ordinance.</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above, in the event an Grantee shall elect to release the Section 102 Trustee Awards and/or the Shares issued upon exercise of such Awards prior to the conclusion of the Lock-up Period, the sanctions under Section 102 shall apply to and shall be borne solely by the Grantee.</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Rights distributed to the Grantee on account of Section 102 Trustee Awards shall be deposited with and/or issued to the Trustee for the benefit of the Grantee, and shall be held by the Trustee for the applicable Lock-up Period in accordance with the provisions of Section 102 and the elected tax route.</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any Affiliate of the Company (if applicable), the Trustee and the Grantee shall comply with the Tax Ordinance, Section 102 and the provisions of the Trust Agreement.</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Upon receipt of Section 102 Trustee Awards, Grantee will sign the Award Agreement, which shall be deemed as the Grantee’s undertaking to exempt the Trustee from any liability in respect of any action or decision duly taken and </w:t>
            </w:r>
            <w:r>
              <w:rPr>
                <w:rFonts w:ascii="Times New Roman;Times;Serif" w:hAnsi="Times New Roman;Times;Serif"/>
                <w:i/>
                <w:sz w:val="20"/>
              </w:rPr>
              <w:t>bona fide</w:t>
            </w:r>
            <w:r>
              <w:rPr>
                <w:rFonts w:ascii="Times New Roman;Times;Serif" w:hAnsi="Times New Roman;Times;Serif"/>
                <w:sz w:val="20"/>
              </w:rPr>
              <w:t xml:space="preserve"> executed in relation with the Plan and any Award, Share, Additional Right or other rights received by the Grantee in connection therewith.</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9"/>
        <w:gridCol w:w="10068"/>
      </w:tblGrid>
      <w:tr>
        <w:trPr/>
        <w:tc>
          <w:tcPr>
            <w:tcW w:w="38"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Committee shall determine and approve the terms of engagement of the Trustee, and shall be authorized to designate from time to time a new Trustee and replace either of them at its sole discretion, and in the event of replacement of any existing Trustee, to instruct the transfer of all Awards and Shares held by such Trustee at such time to its successor.</w:t>
            </w:r>
          </w:p>
        </w:tc>
      </w:tr>
    </w:tbl>
    <w:p>
      <w:pPr>
        <w:pStyle w:val="TextBody"/>
        <w:bidi w:val="0"/>
        <w:spacing w:before="0" w:after="0"/>
        <w:ind w:left="0" w:right="0" w:hanging="0"/>
        <w:jc w:val="both"/>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275"/>
        <w:gridCol w:w="6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8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Options</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shall be determined by the Committee on the date of grant of an Option, on an individual basis, subject to any guidelines as may be determined by the Board from time to time and any applicable law; provided, however, that the Exercise Price shall be not less than the nominal value of the Shares underlying the Option.</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consideration to be paid for the Shares to be issued upon exercise of an Option, including the method of payment, shall be determined by the Committee subject to applicable laws. Such consideration may consist of, without limitation, (1) cash, or (2) check or wire transfer, or (3) at the discretion of the Committee, consideration received by the Company under a broker-assisted sale and remittance program acceptable to the Committee, or (4) at the discretion of the Committee, any combination of the foregoing methods of payment.</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Options shall be exercisable pursuant to the terms under which they were awarded and subject to the terms and conditions of this Plan and the Award Agreement; provided, however, that in no event shall an Option be exercisable after its Expiration Date, as further specified in Section 11(d) below.</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Option, or any part thereof, shall be exercisable by the Grantee’s signing and returning to the Company at its principal office, on any business day, a “Notice of Exercise” in such form and substance as may be prescribed by the Committee from time to time and in accordance with the requirements of applicable laws, which exercise shall be effective upon receipt of such signed notice by the Company at its principal office. The Notice of Exercise shall specify the number of Shares with respect to which the Option is being exercised and shall be accompanied by payment of the aggregate Exercise Price due with respect to the Shares to be purchased. Such payment may consist of any consideration and method of payment authorized by the Committee and permitted by the Award Agreement and the Plan. If required under applicable laws, the Notice of Exercise shall also be accompanied by payment of the aggregate withholding taxes due with respect to the exercise of Options and/or purchased Shares.</w:t>
            </w:r>
          </w:p>
        </w:tc>
      </w:tr>
    </w:tbl>
    <w:p>
      <w:pPr>
        <w:pStyle w:val="TextBody"/>
        <w:bidi w:val="0"/>
        <w:spacing w:before="0" w:after="0"/>
        <w:ind w:left="6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laws require the Company to take any action with respect to the Shares specified in the Notice of Exercise before the issuance thereof, then the date of their issuance shall be extended for the period necessary to take such action.</w:t>
            </w:r>
          </w:p>
        </w:tc>
      </w:tr>
    </w:tbl>
    <w:p>
      <w:pPr>
        <w:pStyle w:val="TextBody"/>
        <w:bidi w:val="0"/>
        <w:spacing w:before="0" w:after="0"/>
        <w:ind w:left="680" w:right="0" w:hanging="360"/>
        <w:jc w:val="both"/>
        <w:rPr>
          <w:caps w:val="false"/>
          <w:smallCaps w:val="false"/>
        </w:rPr>
      </w:pPr>
      <w:r>
        <w:rPr>
          <w:caps w:val="false"/>
          <w:smallCaps w:val="false"/>
        </w:rPr>
        <w:t> </w:t>
      </w:r>
    </w:p>
    <w:p>
      <w:pPr>
        <w:pStyle w:val="TextBody"/>
        <w:bidi w:val="0"/>
        <w:spacing w:before="0" w:after="0"/>
        <w:ind w:left="6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680" w:right="0" w:hanging="360"/>
        <w:jc w:val="both"/>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14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u w:val="single"/>
              </w:rPr>
              <w:t>Net Exercise</w:t>
            </w:r>
            <w:r>
              <w:rPr>
                <w:rFonts w:ascii="Times New Roman;Times;Serif" w:hAnsi="Times New Roman;Times;Serif"/>
                <w:sz w:val="20"/>
              </w:rPr>
              <w:t>:</w:t>
            </w:r>
          </w:p>
        </w:tc>
      </w:tr>
    </w:tbl>
    <w:p>
      <w:pPr>
        <w:pStyle w:val="TextBody"/>
        <w:bidi w:val="0"/>
        <w:spacing w:before="0" w:after="0"/>
        <w:ind w:left="6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 11 below, the Board may determine that in lieu of exercising Options for cash, the Grantee may elect to receive Shares equal to the aggregate value of the Options (or the portion thereof being exercised) against payment of the par value of such exercised Shares, by written notice of such election to the Company, in which event the Company shall issue to the Grantee, for no additional consideration (other than the par value of such exercised Shares), that number of Shares computed using the following formula:</w:t>
      </w:r>
    </w:p>
    <w:p>
      <w:pPr>
        <w:pStyle w:val="TextBody"/>
        <w:bidi w:val="0"/>
        <w:spacing w:before="0" w:after="0"/>
        <w:ind w:left="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75"/>
        <w:gridCol w:w="305"/>
        <w:gridCol w:w="650"/>
        <w:gridCol w:w="60"/>
        <w:gridCol w:w="60"/>
        <w:gridCol w:w="60"/>
        <w:gridCol w:w="60"/>
        <w:gridCol w:w="7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 (A-B)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 =</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to be issued to the Grantee.</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pPr>
            <w:r>
              <w:rPr/>
              <w:t> </w:t>
            </w:r>
          </w:p>
        </w:tc>
        <w:tc>
          <w:tcPr>
            <w:tcW w:w="99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 =</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vested Options that the Grantee wishes to exercise.</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pPr>
            <w:r>
              <w:rPr/>
              <w:t> </w:t>
            </w:r>
          </w:p>
        </w:tc>
        <w:tc>
          <w:tcPr>
            <w:tcW w:w="99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Fair Market Value of one (1) Share, which, if the Shares are traded on a stock exchange, will be considered as the average known closing price (or closing bid if no sales have been reported) of the Company’s share on the applicable stock exchange in the 30 days prior to the date of delivery of the exercise notice by the Grantee to the Company.</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pPr>
            <w:r>
              <w:rPr/>
              <w:t> </w:t>
            </w:r>
          </w:p>
        </w:tc>
        <w:tc>
          <w:tcPr>
            <w:tcW w:w="99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pPr>
            <w:r>
              <w:rPr/>
              <w:t> </w:t>
            </w:r>
          </w:p>
        </w:tc>
        <w:tc>
          <w:tcPr>
            <w:tcW w:w="992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 =</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 Value of Exercise Share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75"/>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Vesting of Awards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Award Agreement shall provide the vesting schedule for the Award as determined by the Committee. The Committee shall have the authority to determine the vesting schedule and accelerate the vesting of any outstanding Award at such time and under such circumstances as it, in its sole discretion, deems appropriate.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Award Agreement may contain performance goals and measurements (which, in the case of Awards granted in accordance with Section 102, shall, if then required, be subject to obtaining a specific tax ruling or determination from the appropriate Israeli Income Tax Authorities), and the provisions with respect to any Award need not be the same as the provisions with respect to any other Awards.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Committee provides otherwise, vesting of Awards granted hereunder shall be suspended during any unpaid leave of absence.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Anything herein to the contrary notwithstanding, if any Award, or any part thereof, has not been exercised or settled prior to its Expiration Date and the Shares covered thereby not paid for until such date, then such Award, or such part thereof, and the right to acquire such Shares shall terminate, and all interests and rights of the Grantee in and to the same shall expire.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Awards may be exercised or settled only to purchase whole Shares, and in no case may a fraction of a Share be purchased. If any fractional Share would be deliverable upon exercise, including but not limited to, as a result of adjustments as provided in Section 15 hereof, such fraction shall be rounded up one-half or less, or otherwise rounded down, to the nearest whole number of Shares.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8"/>
        <w:gridCol w:w="10079"/>
      </w:tblGrid>
      <w:tr>
        <w:trPr/>
        <w:tc>
          <w:tcPr>
            <w:tcW w:w="3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exercise or settlement of Awards, the Grantee shall have none of the rights and privileges of a shareholder of the Company in respect to any underlying Shares. Until the Shares are issued (as evidenced by the appropriate entry on the books of the Company or of a duly authorized transfer agent of the Company), no right to receive dividends or any other rights as a shareholder shall exist with respect to the Shares, notwithstanding the exercise of the Award. The Company shall issue (or cause to be issued) such Shares promptly after the Award is exercised or settled, subject to the provisions of Section 16 hereof. No adjustment will be made for a dividend or other right, for which the record date precedes the date of issuance of the Shares, except as provided in Section 14 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10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and to the extent otherwise expressly provided herein, the Shares acquired under an Award shall be subject to the provisions of the Company’s incorporation documents, as amended from time to time and/or any other shareholders agreement in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275"/>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Share Units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grant Restricted Share Units from time to time at its sole discretion. The Restricted Share Units granted pursuant to the Plan, shall be evidenced by a written Award Agreement. Each Award Agreement shall state, among other matters, the number of Restricted Share Units granted, the vesting dates, the tax route and such other terms and conditions as the Board at its discretion may prescribe, provided that they are consistent with this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vesting of the Restricted Share Units, the Company shall issue Shares within reasonable time in the name of the Grantee, subject to compliance with applicable law and payment of any tax liability associated with such issuance. The issuance of Shares upon vesting shall be subject to the payment of the par value of the Shares by the Grantee.</w:t>
            </w:r>
          </w:p>
        </w:tc>
      </w:tr>
    </w:tbl>
    <w:p>
      <w:pPr>
        <w:pStyle w:val="TextBody"/>
        <w:bidi w:val="0"/>
        <w:spacing w:before="0" w:after="0"/>
        <w:ind w:left="0" w:right="0" w:hanging="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75"/>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13.</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Restricted </w:t>
            </w:r>
            <w:r>
              <w:rPr>
                <w:rFonts w:ascii="Times New Roman;Times;Serif" w:hAnsi="Times New Roman;Times;Serif"/>
                <w:b w:val="false"/>
                <w:i w:val="false"/>
                <w:caps w:val="false"/>
                <w:smallCaps w:val="false"/>
                <w:strike w:val="false"/>
                <w:dstrike w:val="false"/>
                <w:sz w:val="20"/>
                <w:u w:val="single"/>
                <w:effect w:val="none"/>
              </w:rPr>
              <w:t>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4"/>
        <w:gridCol w:w="10043"/>
      </w:tblGrid>
      <w:tr>
        <w:trPr/>
        <w:tc>
          <w:tcPr>
            <w:tcW w:w="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grant Restricted Shares from time to time at its sole discretion. The Restricted Shares granted pursuant to the Plan, shall be evidenced by a written Award Agreement. Each Award Agreement shall state, among other matters, the number of Restricted Shares granted, the restrictions to which the Shares will be subject, the tax route and such other terms and conditions as the Board at its discretion may prescribe, provided that they are consistent with this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Beginning on the date of grant and subject to the execution of an Award Agreement and the payment of the purchase price for the Shares (to the extent applicable), the Grantee shall become a shareholder of the Company with respect to all Restricted Shares and shall have all of the rights of a shareholder, including the right to receive distributions made with respect to such shares, including regular cash dividends (except as otherwise provided by the Board); provided, however, that in the absence of a Board action to the contrary, any Shares or any other property (other than regular cash distributions) distributed as a dividend or otherwise with respect to any Restricted Shares as to which the restrictions have not yet lapsed shall be subject to the same restrictions as the shares covered by such Restricted Shares, as further detailed in the applicable Award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Grantee shall not be permitted to transfer or sell Restricted Shares granted under the Plan prior to the lapse of the restrictions as detailed in the Award Agreement (the “</w:t>
            </w:r>
            <w:r>
              <w:rPr>
                <w:rFonts w:ascii="Times New Roman;Times;Serif" w:hAnsi="Times New Roman;Times;Serif"/>
                <w:b/>
                <w:sz w:val="20"/>
              </w:rPr>
              <w:t>Restriction Period</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when the Restriction Period expires without a prior forfeiture of the Restricted Shares, certificates for Shares attributable to such Restricted Shares shall be delivered to the Grantee (or, if certificates were previously issued, replacement certificates shall be delivered upon return of the previously issued certificates). All legends shall be removed from said certificates at the time of delivery to the Grantee, except as otherwise required by applicable law, applicable agreements to which the Grantee is bound or other limitations imposed by the Board. Notwithstanding the foregoing, actual certificates shall not be issued to the extent that book entry recordkeeping is used.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2"/>
        <w:gridCol w:w="10045"/>
      </w:tblGrid>
      <w:tr>
        <w:trPr/>
        <w:tc>
          <w:tcPr>
            <w:tcW w:w="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issuance of Restricted Shares, and as a condition to the issuance with no restrictions following the Restriction Period, the Grantee shall consent to the terms of any agreement between the Company and its shareholders setting forth certain obligations of the Company’s shareholders and certain restrictions and limitations on the transfer Shares in the Company including, without limitation, the terms of a “bring along” provision, by executing any document, including any joinder or adoption agreement, as shall be required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27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Termination of Relationship as a Service Provider</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provided below, an Award, or any part thereof, may not be exercised unless the Grantee is then a Service Provider of the Company or any Affiliate thereof, and unless the Grantee has remained continuously a Service Provider since the date of grant of the Award, unless the Committee determines that a longer period is applicable or such longer period is otherwise set forth in the Award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approved by the Committee or set forth in the Award Agreement, if an Grantee ceases to be a Service Provider of the Company or any Affiliate thereof for any reason (including, but not limited to retirement, but excluding termination by reasons of Cause, Grantee’s Disability or death, for which events there are special rules in Sections 14c) and 14(d) below), all Awards granted to the Grantee, which are vested and exercisable at the time of such termination, may be exercised within one (1) month following the date of such termination if the Company initiates such termination or two (2) weeks following the date of such termination, if the Service Provider initiates such termination but in no event later than the Expiration Date of such Award, as set forth in the Award Agreement. If, after termination, the Award is not so exercised within the time specified herein, the Award shall terminate, and the Shares covered by the unexercised portion of such Award shall revert to the Plan. Unless the Committee or the Award Agreement provide otherwise, any Awards which are not vested and exercisable at the date of such termination, shall terminate, and the Shares covered by such unvested Award shall revert to the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5"/>
        <w:gridCol w:w="10052"/>
      </w:tblGrid>
      <w:tr>
        <w:trPr/>
        <w:tc>
          <w:tcPr>
            <w:tcW w:w="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approved by the Committee or set forth in the Award Agreement, if an Grantee ceases to be a Service Provider of the Company or any Affiliate thereof as a result of Grantee’s Disability or death, all Awards granted to the Grantee, which are vested and exercisable at the time of such termination, may, unless earlier terminated in accordance with the Award Agreement, be exercised within six (6) months, following the Grantee’s termination, but in no event later than the Expiration Date of such Award, as set forth in the Award Agreement. In the case of Grantee’s death, such Award may be exercised by the personal representative of the Grantee’s estate or by the person or persons to whom the Award is transferred pursuant to the Grantee’s will or the laws of inheritance or by the Grantee’s designated beneficiary or beneficiaries of that Award. If, after termination, the Award is not so exercised within the time specified herein, the Award shall terminate, and the Shares covered by the unexercised portion of such Award shall revert to the Plan. Unless the Committee or the Award Agreement provide otherwise, any Awards which are not vested and exercisable at the date of such termination, shall terminate and the Shares covered by such unvested Award shall revert to the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above, if an Grantee ceases to be a Service Provider of the Company or any Affiliate thereof for Cause, all outstanding Awards granted to such Grantee (whether vested or not) shall, to the extent not theretofore exercised, expire immediately upon the earlier of: (i) the date of such termination; or (ii) the time of delivery of the notice of termination for Cause, unless otherwise determined by the Committee. The Shares covered by such expired Awards shall revert to the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and notwithstanding Sections 14(b) through 14(d) above, if after termination of relationship as a Service Provider, Grantee does not comply in full with any of non- compete, non-solicitation, confidentiality or any other requirement of any agreement between the Grantee and the Company (or any Affiliate thereof engaging the Grantee), the Committee may, in its sole discretion, refuse to allow the exercise of the Awards.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3"/>
        <w:gridCol w:w="10064"/>
      </w:tblGrid>
      <w:tr>
        <w:trPr/>
        <w:tc>
          <w:tcPr>
            <w:tcW w:w="38"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this Section 14, termination of relationship as a Service Provider shall be deemed to be effective upon the date, which is designated by the Company (or any Affiliate thereof engaging the Grantee) as the last day of the Grantee’s service with the Company or any Affiliate thereof.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100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this Section 14, a transfer of the Grantee from the service of the Company to any Affiliate (and vise versa) or between Affiliates shall not be deemed a termination of relationship as a Service Provider, unless otherwise determined by the Committee.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Adjustments, Liquidation and Corporate Transaction</w:t>
            </w:r>
            <w:r>
              <w:rPr>
                <w:rFonts w:ascii="Times New Roman;Times;Serif" w:hAnsi="Times New Roman;Times;Serif"/>
                <w:sz w:val="20"/>
              </w:rPr>
              <w:t>: Upon the occurrence of any of the following described events, an Grantee’s right to purchase Shares under the Plan shall be adjusted as hereinafter provided.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4"/>
        <w:gridCol w:w="10053"/>
      </w:tblGrid>
      <w:tr>
        <w:trPr/>
        <w:tc>
          <w:tcPr>
            <w:tcW w:w="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Changes in Capitalization</w:t>
            </w:r>
            <w:r>
              <w:rPr>
                <w:rFonts w:ascii="Times New Roman;Times;Serif" w:hAnsi="Times New Roman;Times;Serif"/>
                <w:sz w:val="20"/>
              </w:rPr>
              <w:t>. The number and type of Shares which have been authorized for issuance under the Plan but as to which no Award have yet been granted or which have been returned to the Plan upon cancellation or expiration of an Award, and the number and type of Shares covered by each outstanding Award, as well as the Exercise Price per Share covered by each such outstanding Award, shall be proportionately adjusted for any increase or decrease in the number or type of issued Shares resulting from a stock split, reverse stock split, stock dividend, recapitalization, combination or reclassification of the Shares, or any other increase or decrease in the number of issued Shares effected without receipt of consideration by the Company, in order to prevent diminution or enlargement of the benefits or potential benefits intended to be made available under the Plan. The conversion of any convertible securities of the Company shall not be deemed to have been “effected without receipt of consideration”. Such adjustment shall be made by the Committee, in its sole discretion. The Company shall not be required to issue fractional Shares or other securities under the Plan as a result of such adjustment and any fractional interest in a Share or other security that would otherwise be delivered upon the exercise of an Award will be rounded, as detailed in Section 11(e) 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Dissolution or Liquidation</w:t>
            </w:r>
            <w:r>
              <w:rPr>
                <w:rFonts w:ascii="Times New Roman;Times;Serif" w:hAnsi="Times New Roman;Times;Serif"/>
                <w:sz w:val="20"/>
              </w:rPr>
              <w:t>. In the event of dissolution or liquidation of the Company, the Company shall have no obligation to notify the Grantees of such event and any Awards that have not been previously exercised will terminate immediately prior to such dissolution or liquidation. Notwithstanding the above, in the event of a voluntary liquidation of the Company, which is not within the frame of a Corporate Transaction, the Committee shall notify each Grantee as soon as practicable prior to the effective date of such proposed transaction, and any Awards that have not been previously exercised will terminate immediately prior to such proposed liquidation.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6"/>
        <w:gridCol w:w="10051"/>
      </w:tblGrid>
      <w:tr>
        <w:trPr/>
        <w:tc>
          <w:tcPr>
            <w:tcW w:w="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Corporate Transaction</w:t>
            </w:r>
            <w:r>
              <w:rPr>
                <w:rFonts w:ascii="Times New Roman;Times;Serif" w:hAnsi="Times New Roman;Times;Serif"/>
                <w:sz w:val="20"/>
              </w:rPr>
              <w:t>. In the event of a Corporate Transaction, each outstanding Award shall be treated as the Committee determines, including, without limitation, that each Award may (i) be assumed or substituted for an equivalent option by the successor corporation or a parent or subsidiary of the successor corporation. In the case of such assumption or substitution of Options, appropriate adjustments shall be made in the number and type of Shares covered by each outstanding Option, as well as the Exercise Price per Share covered by each such outstanding Award, and all other terms and conditions of the Awards, such as the vesting dates, shall remain in force; or (ii) be terminated in exchange for a cash payment (if any) equal to the excess of the Fair Market Value of the Shares subject to such Award (either to the extent then exercisable or, at the discretion of the Committee, the Award being made fully exercisable for purposes of this Section 15(c)) over the Exercise Price thereof.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68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15(c), the Award shall be considered assumed if, following the Corporate Transaction, the Award confers the right to purchase or receive, for each Share covered by the Award immediately prior to the Corporate Transaction, the consideration, if any, (whether stock, cash, or other securities or property) received in the Corporate Transaction by holders of Ordinary Shares for each Ordinary Share held on the effective date of the transaction (and if holders were offered a choice of consideration, the type of consideration chosen by the holders of a majority of the outstanding Ordinary Shares); provided, however, that if such consideration received in the Corporate Transaction is not solely in securities of the successor corporation or its Parent or Subsidiary, the Committee may, with the consent of the successor corporation, provide for the consideration to be received upon the exercise of the Award, for each Ordinary Share subject to the Award, to be solely in securities of the successor corporation or its Parent or Subsidiary equal in fair market value to the per share consideration received by holders of Ordinary Shares in the Corporate Transaction.</w:t>
      </w:r>
    </w:p>
    <w:p>
      <w:pPr>
        <w:pStyle w:val="TextBody"/>
        <w:bidi w:val="0"/>
        <w:spacing w:before="0" w:after="0"/>
        <w:ind w:left="680" w:right="0" w:firstLine="20"/>
        <w:jc w:val="both"/>
        <w:rPr>
          <w:caps w:val="false"/>
          <w:smallCaps w:val="false"/>
        </w:rPr>
      </w:pPr>
      <w:r>
        <w:rPr>
          <w:caps w:val="false"/>
          <w:smallCaps w:val="false"/>
        </w:rPr>
        <w:t> </w:t>
      </w:r>
    </w:p>
    <w:p>
      <w:pPr>
        <w:pStyle w:val="TextBody"/>
        <w:bidi w:val="0"/>
        <w:spacing w:before="0" w:after="0"/>
        <w:ind w:left="68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Committee or the Award Agreement provide otherwise, in the event that the Award is not assumed, substituted or exchanged during and/or immediately following the Corporate Transaction, the Award shall terminate as of the date of the closing of the Corporate Transaction and the Committee shall notify the Grantee in writing or electronically of such termination.</w:t>
      </w:r>
    </w:p>
    <w:p>
      <w:pPr>
        <w:pStyle w:val="TextBody"/>
        <w:bidi w:val="0"/>
        <w:spacing w:before="0" w:after="0"/>
        <w:ind w:left="680" w:right="0" w:firstLine="20"/>
        <w:jc w:val="both"/>
        <w:rPr>
          <w:caps w:val="false"/>
          <w:smallCaps w:val="false"/>
        </w:rPr>
      </w:pPr>
      <w:r>
        <w:rPr>
          <w:caps w:val="false"/>
          <w:smallCaps w:val="false"/>
        </w:rPr>
        <w:t> </w:t>
      </w:r>
    </w:p>
    <w:p>
      <w:pPr>
        <w:pStyle w:val="TextBody"/>
        <w:bidi w:val="0"/>
        <w:spacing w:before="0" w:after="0"/>
        <w:ind w:left="6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not be required to treat all Awards similarly in the transaction</w:t>
      </w:r>
    </w:p>
    <w:p>
      <w:pPr>
        <w:pStyle w:val="TextBody"/>
        <w:bidi w:val="0"/>
        <w:spacing w:before="0" w:after="0"/>
        <w:ind w:left="6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u w:val="single"/>
              </w:rPr>
              <w:t>Dividend Distribution</w:t>
            </w:r>
            <w:r>
              <w:rPr>
                <w:rFonts w:ascii="Times New Roman;Times;Serif" w:hAnsi="Times New Roman;Times;Serif"/>
                <w:b w:val="false"/>
                <w:i w:val="false"/>
                <w:caps w:val="false"/>
                <w:smallCaps w:val="false"/>
                <w:strike w:val="false"/>
                <w:dstrike w:val="false"/>
                <w:sz w:val="20"/>
                <w:u w:val="none"/>
                <w:effect w:val="none"/>
              </w:rPr>
              <w:t xml:space="preserve">. </w:t>
            </w:r>
            <w:r>
              <w:rPr>
                <w:rFonts w:ascii="Times New Roman;Times;Serif" w:hAnsi="Times New Roman;Times;Serif"/>
                <w:sz w:val="20"/>
              </w:rPr>
              <w:t>In the event the Company shall distribute a cash, in kind, or similar dividend with respect to all of its issued and outstanding ordinary shares, and the record date for determining the right to receive such dividends is before the Expiration Date of exercise such Awards, then the Award Exercise Price payable upon exercise of each outstanding Option shall be adjusted and reduced by the amount of such dividend payment per Share; provided, however, that no dividends or Additional Rights may be issued with respect to any unvested Awards.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9"/>
        <w:gridCol w:w="10048"/>
      </w:tblGrid>
      <w:tr>
        <w:trPr/>
        <w:tc>
          <w:tcPr>
            <w:tcW w:w="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Issuance of Rights</w:t>
            </w:r>
            <w:r>
              <w:rPr>
                <w:rFonts w:ascii="Times New Roman;Times;Serif" w:hAnsi="Times New Roman;Times;Serif"/>
                <w:sz w:val="20"/>
              </w:rPr>
              <w:t>. In the event that the Company shall offer to its shareholders rights to purchase any securities, by the method of rights offering, than the Exercise Price shall not be adjusted. However, the amount of shares issuable upon the exercise of Awards not yet exercised prior to the effective date with respect to the right to purchase rights under the rights offering (in this Section 15(e) – the “Effective Date”), shall be adjusted according to the benefit component of the rights, if any, as it is expressed in the ratio between the price of an ordinary share on the end of the Effective Date and the price of an ordinary share as a result of such rights offering, as recorded by the stock exchange, as applicable (ex rights rate).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4"/>
        <w:gridCol w:w="10053"/>
      </w:tblGrid>
      <w:tr>
        <w:trPr/>
        <w:tc>
          <w:tcPr>
            <w:tcW w:w="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each adjustment of the Exercise Price and/or number of Shares, the Company shall notify Holder within a reasonable time setting forth the adjustments to the Exercise Price, class and/or number of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75"/>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5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Limited Transferability and Restrictions on Sale of Awards/Shares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2"/>
        <w:gridCol w:w="10045"/>
      </w:tblGrid>
      <w:tr>
        <w:trPr/>
        <w:tc>
          <w:tcPr>
            <w:tcW w:w="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Award may be sold, pledged, assigned, hypothecated or transferred other than by will or by the laws of descent and distribution, and may be exercised during the lifetime of the Grantee, only by the Grantee. The terms of the Plan and the Award Agreement shall be binding upon the executors, administrators, heirs, successors and assigns of the Grantee. Any attempted sale, transfer, assignment, pledge, hypothecation or other disposition of any Award or of any rights granted thereunder contrary to the provisions of this Plan shall be null and void.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derogating from the provisions of Section 16(a) above, with regard to Section 102 Trustee Award and the Shares issued upon exercise of such Awards, as long as such Awards and/or Shares are held by the Trustee on behalf of the Grantee, all rights of the Grantee with respect thereto are personal and cannot be transferred, assigned, pledged or mortgaged, other than by will or by the laws of descent and distribution.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2"/>
        <w:gridCol w:w="10045"/>
      </w:tblGrid>
      <w:tr>
        <w:trPr/>
        <w:tc>
          <w:tcPr>
            <w:tcW w:w="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acquired upon exercise of an Award shall be subject to such restrictions on transfer and/or sale as are generally applicable to Ordinary Shares of the Company, including but not limited to (i) restrictions detailed in the Company’s incorporation documents, as may be amended from time to time; and (ii) restrictions detailed in any shareholders agreements (as applicable to other shareholders of Ordinary Shares of the Company), as amended from time to time, regardless of whether or not the Grantee is a party to such agreements.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event the Shares shall be registered for trading in any public market, the Committee may impose certain limitations on the Grantee’s right to sell the Shares (including a lock-up period) as may be requested by the Company’s underwriters or as the Committee may, in its absolute discretion, determine to be necessary or advisable, and Grantee shall unconditionally agree and accept any such limitations.</w:t>
            </w:r>
          </w:p>
        </w:tc>
      </w:tr>
    </w:tbl>
    <w:p>
      <w:pPr>
        <w:pStyle w:val="TextBody"/>
        <w:bidi w:val="0"/>
        <w:spacing w:before="0" w:after="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75"/>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Conditions Upon Issuance of Shares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8"/>
        <w:gridCol w:w="10049"/>
      </w:tblGrid>
      <w:tr>
        <w:trPr/>
        <w:tc>
          <w:tcPr>
            <w:tcW w:w="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shall not be issued pursuant to the exercise of an Award unless the exercise of such Award and the issuance and delivery of such Shares shall comply with applicable laws and shall be further subject to the approval of counsel for the Company with respect to such compliance. Without derogating from the generality of the foregoing, the Company shall not be required to issue or deliver any Shares (or any certificate or certificates for such Shares) purchased upon exercise of any Award (or portion thereof) prior to the completion of any registration or other qualification of such Shares, if so required under any applicable law and/or under the rulings or regulations of any governmental regulatory body which the Committee shall, in its absolute discretion, determine to be necessary or advisable.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2"/>
        <w:gridCol w:w="10035"/>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condition to the exercise of an Award, the Committee may require the Grantee exercising such Award to represent and warrant at the time of such exercise, if, in the opinion of counsel for the Company such representation is required in order to comply with any registration exemption requirement, that (i) the Shares are being purchased only for investment and without any present intention to sell or distribute such Shares; and (ii) the Grantee shall not sell, transfer or otherwise dispose of any of the Shares so purchased by him, except in compliance with the applicable securities laws, and the rules and regulations thereunder. Furthermore, the Company shall have the authority to endorse upon the certificate or certificates representing the Shares such legends referring to the foregoing restrictions, and any other applicable restriction, as it may deem appropriate.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7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Tax Consequences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4"/>
        <w:gridCol w:w="10053"/>
      </w:tblGrid>
      <w:tr>
        <w:trPr/>
        <w:tc>
          <w:tcPr>
            <w:tcW w:w="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tax consequences arising from the grant or exercise of any Award, from the payment for Shares covered thereby, from the sale, transfer or disposition of such Shares or from any other event or act (of the Grantee, the Company or any Affiliate of the Company or the Trustee (if applicable)) hereunder, shall be borne solely by the Grantee. The Company or any Affiliate or the Trustee (if applicable) shall withhold taxes according to the requirements under the applicable laws, and it may take steps as it may deem necessary for withholding all due taxes, including, but not limited to (i) to the extent permitted by applicable laws, deducting the amount so required to be withheld from any other amount then or thereafter payable to an Grantee, and/or (ii) requiring an Grantee to pay to the Company or any Affiliate or to the Trustee (as the case may be) the amount so required to be withheld as a condition for the issuance, delivery, distribution or release of any Shares. Furthermore, such Grantee shall agree to indemnify the Company, any Affiliate that engages the Grantee and the Trustee, if applicable, and hold them harmless against and from any and all liability for any such tax or interest or penalty thereon, including without limitation, liabilities relating to the necessity to withhold, or to have withheld, any such tax from any payment made to the Grantee. Except as otherwise required by applicable laws, the Company shall not be required to release any Share certificate to an Grantee until all required payments have been fully made.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derogating from the definition of Fair Market Value in Section 2 above, and solely for the purpose of determining the tax liability with respect to the grant of Capital Gain Award Through a Trustee pursuant to Section 102, in the event the Shares of the Company are listed for trade on any established stock exchange or national market system or in the event the Shares of the Company will be registered for trade within ninety (90) days following the date of grant of such Awards, the Fair Market Value of the Shares on the date of grant shall be equal to the average value of the Company’s Shares on the thirty (30) trading days preceding the date of grant or on the thirty (30) trading days following the date of registration for trade, as the case may be, all in accordance with the provisions of Section 102(b)(3) of the Tax Ordinance.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4"/>
        <w:gridCol w:w="10043"/>
      </w:tblGrid>
      <w:tr>
        <w:trPr/>
        <w:tc>
          <w:tcPr>
            <w:tcW w:w="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regard to Section 102 Non-Trustee Award, in the event an Grantee shall cease to be employed by or, if applicable, cease to render his services to the Company or any Affiliate, for any reason, the Grantee shall be obligated to provide the Company and/or its Affiliate with a security or guarantee, in the degree and manner satisfactory to them, to cover any future tax obligation resulting from the disposition of the Awards and/or the Shares acquired thereunder.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regard to Section 102 Trustee Awards, the provisions of the Plan and the Award Agreement shall be subject to the provisions of Section 102 and the tax officer’s approval, which shall be deemed an integral part of the Plan and the Award Agreement. To the extent that Section 102 and/or the tax officer’s approval require the Plan and/or the Award Agreement to contain specified provisions in order to qualify the Awards for preferential tax treatment, such provisions shall be deemed to be stated herein and/or in the Award Agreement, as applicable, and to be binding upon the Company, any Affiliate and the Grantee.</w:t>
            </w:r>
          </w:p>
        </w:tc>
      </w:tr>
    </w:tbl>
    <w:p>
      <w:pPr>
        <w:pStyle w:val="TextBody"/>
        <w:bidi w:val="0"/>
        <w:spacing w:before="0" w:after="0"/>
        <w:jc w:val="left"/>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275"/>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Term, Amendment and Termination of the Plan</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Plan shall become effective upon the later of: (i) its adoption by the Board; or (ii) its approval by the Company’s shareholders, but only if such shareholders’ approval is required under applicable laws.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Committee, at any time and from time to time, may terminate, suspend or amend the Plan. The Committee shall obtain approval from the Company’s shareholders of any Plan amendment to the extent necessary to comply with applicable laws. Other than in respect of a Corporate Transaction (in which case, the provisions of Section 15(c) above shall govern), no amendment, suspension or termination of the Plan shall impair the rights of any Grantee, unless mutually agreed otherwise between the Grantee and the Committee, which agreement must be in writing and signed by the Grantee and the Company. Termination of the Plan shall not affect the Committee’s ability to exercise the powers granted to it hereunder with respect to Awards granted under the Plan prior to the date of such termination.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Participation by Grantees Outside Israel</w:t>
            </w:r>
            <w:r>
              <w:rPr>
                <w:rFonts w:ascii="Times New Roman;Times;Serif" w:hAnsi="Times New Roman;Times;Serif"/>
                <w:sz w:val="20"/>
              </w:rPr>
              <w:t>. Notwithstanding anything in the Plan to the contrary, with respect to any employee who is resident outside of Israel, the Committee may, in its sole discretion, amend the terms of the Plan in order to conform such terms with the requirements of local law or to meet the objectives of the Plan. The Committee may, where appropriate, establish one or more sub-plans for this purpose.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Inability to Obtain Authority</w:t>
            </w:r>
            <w:r>
              <w:rPr>
                <w:rFonts w:ascii="Times New Roman;Times;Serif" w:hAnsi="Times New Roman;Times;Serif"/>
                <w:sz w:val="20"/>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Continuance of Engagement</w:t>
            </w:r>
            <w:r>
              <w:rPr>
                <w:rFonts w:ascii="Times New Roman;Times;Serif" w:hAnsi="Times New Roman;Times;Serif"/>
                <w:sz w:val="20"/>
              </w:rPr>
              <w:t>: Neither the Plan nor any Award granted hereunder shall impose any obligation on the Company or its Affiliates, to continue its relationship with an Grantee as a Service Provider, and nothing in the Plan, in any Award Agreement or in any Award granted pursuant thereto shall confer upon any Grantee any right with respect to continuing the Grantee’s relationship as a Service Provider with the Company or its Affiliate nor shall it interfere in any way with his right or the Company’s or its Affiliate’s right to terminate such relationship at any time, with or without Cause, and with or without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Non-Exclusivity of the Plan</w:t>
            </w:r>
            <w:r>
              <w:rPr>
                <w:rFonts w:ascii="Times New Roman;Times;Serif" w:hAnsi="Times New Roman;Times;Serif"/>
                <w:sz w:val="20"/>
              </w:rPr>
              <w:t>: The Plan shall not be construed as creating any limitations on the power of the Board or the Committee to adopt such other incentive arrangements as either may deem desirable, including without limitation, the granting of stock options otherwise than under the Plan, and such arrangements may be either generally applicable or applicable only in specific cases.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Governing Law and Jurisdiction</w:t>
            </w:r>
            <w:r>
              <w:rPr>
                <w:rFonts w:ascii="Times New Roman;Times;Serif" w:hAnsi="Times New Roman;Times;Serif"/>
                <w:sz w:val="20"/>
              </w:rPr>
              <w:t>: This Plan and all instruments issued thereunder or in connection therewith shall be governed by and construed and enforced in accordance with the laws of the State of Israel, without giving effect to the principles of conflict of laws thereof. Any dispute arising out of this Plan and all instruments issued thereunder or in connection therewith shall be resolved exclusively by the appropriate court in the State of Israel.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Application of Funds</w:t>
            </w:r>
            <w:r>
              <w:rPr>
                <w:rFonts w:ascii="Times New Roman;Times;Serif" w:hAnsi="Times New Roman;Times;Serif"/>
                <w:sz w:val="20"/>
              </w:rPr>
              <w:t>: The proceeds received by the Company from the sale of Shares pursuant to Awards will be used for general corporate purposes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Severability</w:t>
            </w:r>
            <w:r>
              <w:rPr>
                <w:rFonts w:ascii="Times New Roman;Times;Serif" w:hAnsi="Times New Roman;Times;Serif"/>
                <w:sz w:val="20"/>
              </w:rPr>
              <w:t>: If any term or other provision of this Plan is determined to be invalid, illegal or incapable of being enforced by any applicable laws, the invalidity of such term or provision of the Plan shall not affect the validity or enforceability of any other provision of the Plan, which shall remain in full force and effect.</w:t>
            </w:r>
          </w:p>
        </w:tc>
      </w:tr>
    </w:tbl>
    <w:p>
      <w:pPr>
        <w:pStyle w:val="TextBody"/>
        <w:bidi w:val="0"/>
        <w:spacing w:before="0" w:after="0"/>
        <w:ind w:left="3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3" w:name="ea020258401ex12-1_railvision.htm"/>
      <w:bookmarkStart w:id="94" w:name="ksea020258401ex121_railvision"/>
      <w:bookmarkEnd w:id="93"/>
      <w:bookmarkEnd w:id="94"/>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EXCHANGE ACT RULE 13a-14(a) or 15d-14(a)</w:t>
      </w:r>
    </w:p>
    <w:p>
      <w:pPr>
        <w:pStyle w:val="TextBody"/>
        <w:bidi w:val="0"/>
        <w:spacing w:before="0" w:after="0"/>
        <w:ind w:left="0" w:right="0" w:hanging="0"/>
        <w:jc w:val="center"/>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155"/>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I,</w:t>
            </w:r>
          </w:p>
        </w:tc>
        <w:tc>
          <w:tcPr>
            <w:tcW w:w="2510" w:type="dxa"/>
            <w:tcBorders/>
            <w:vAlign w:val="center"/>
          </w:tcPr>
          <w:p>
            <w:pPr>
              <w:pStyle w:val="TableContents"/>
              <w:bidi w:val="0"/>
              <w:spacing w:before="0" w:after="283"/>
              <w:jc w:val="both"/>
              <w:rPr/>
            </w:pPr>
            <w:r>
              <w:rPr/>
              <w:t>Shahar Hania, certify that:</w:t>
            </w:r>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85"/>
        <w:gridCol w:w="558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Rail Vision Ltd.;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05"/>
        <w:gridCol w:w="195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28, 2024</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Shahar Hania</w:t>
            </w:r>
          </w:p>
        </w:tc>
      </w:tr>
      <w:tr>
        <w:trPr/>
        <w:tc>
          <w:tcPr>
            <w:tcW w:w="180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Shahar Hania</w:t>
            </w:r>
          </w:p>
        </w:tc>
      </w:tr>
      <w:tr>
        <w:trPr/>
        <w:tc>
          <w:tcPr>
            <w:tcW w:w="180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5" w:name="ea020258401ex12-2_railvision.htm"/>
      <w:bookmarkStart w:id="96" w:name="ksea020258401ex122_railvision"/>
      <w:bookmarkEnd w:id="95"/>
      <w:bookmarkEnd w:id="96"/>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EXCHANGE ACT RULE 13a-14(a) or 15d-14(a)</w:t>
      </w:r>
    </w:p>
    <w:p>
      <w:pPr>
        <w:pStyle w:val="TextBody"/>
        <w:bidi w:val="0"/>
        <w:spacing w:before="0" w:after="0"/>
        <w:ind w:left="0" w:right="0" w:hanging="0"/>
        <w:jc w:val="center"/>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55"/>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I,</w:t>
            </w:r>
          </w:p>
        </w:tc>
        <w:tc>
          <w:tcPr>
            <w:tcW w:w="2345" w:type="dxa"/>
            <w:tcBorders/>
            <w:vAlign w:val="center"/>
          </w:tcPr>
          <w:p>
            <w:pPr>
              <w:pStyle w:val="TableContents"/>
              <w:bidi w:val="0"/>
              <w:spacing w:before="0" w:after="283"/>
              <w:jc w:val="both"/>
              <w:rPr/>
            </w:pPr>
            <w:r>
              <w:rPr/>
              <w:t>Ofer Naveh, certify that:</w:t>
            </w:r>
          </w:p>
        </w:tc>
      </w:tr>
    </w:tbl>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185"/>
        <w:gridCol w:w="558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Rail Vision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805"/>
        <w:gridCol w:w="189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28, 2024</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Ofer Naveh</w:t>
            </w:r>
          </w:p>
        </w:tc>
      </w:tr>
      <w:tr>
        <w:trPr/>
        <w:tc>
          <w:tcPr>
            <w:tcW w:w="180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Ofer Naveh</w:t>
            </w:r>
          </w:p>
        </w:tc>
      </w:tr>
      <w:tr>
        <w:trPr/>
        <w:tc>
          <w:tcPr>
            <w:tcW w:w="180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7" w:name="ea020258401ex13-1_railvision.htm"/>
      <w:bookmarkStart w:id="98" w:name="ksea020258401ex131_railvision"/>
      <w:bookmarkEnd w:id="97"/>
      <w:bookmarkEnd w:id="98"/>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of the Annual Report on Form 20-F for the period ended December 31, 2023 (the “Report”) by Rail Vision Ltd. (the “Company”), the undersigned, as the Chief Executive Officer of the Company, hereby certifies pursuant to 18 U.S.C. Section 1350,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05"/>
        <w:gridCol w:w="195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28, 2024</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Shahar Hania</w:t>
            </w:r>
          </w:p>
        </w:tc>
      </w:tr>
      <w:tr>
        <w:trPr/>
        <w:tc>
          <w:tcPr>
            <w:tcW w:w="180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Shahar Hania</w:t>
            </w:r>
          </w:p>
        </w:tc>
      </w:tr>
      <w:tr>
        <w:trPr/>
        <w:tc>
          <w:tcPr>
            <w:tcW w:w="180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9" w:name="ea020258401ex13-2_railvision.htm"/>
      <w:bookmarkStart w:id="100" w:name="ksea020258401ex132_railvision"/>
      <w:bookmarkEnd w:id="99"/>
      <w:bookmarkEnd w:id="100"/>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filing of the Annual Report on Form 20-F for the period ended December 31, 2023 (the “Report”) by Rail Vision Ltd. (the “Company”), the undersigned, as the Chief Financial Officer of the Company, hereby certifies pursuant to 18 U.S.C. Section 1350, that, to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805"/>
        <w:gridCol w:w="189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28, 2024</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Ofer Naveh</w:t>
            </w:r>
          </w:p>
        </w:tc>
      </w:tr>
      <w:tr>
        <w:trPr/>
        <w:tc>
          <w:tcPr>
            <w:tcW w:w="180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Ofer Naveh</w:t>
            </w:r>
          </w:p>
        </w:tc>
      </w:tr>
      <w:tr>
        <w:trPr/>
        <w:tc>
          <w:tcPr>
            <w:tcW w:w="180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1" w:name="ea020258401ex15-1_railvision.htm"/>
      <w:bookmarkStart w:id="102" w:name="ksea020258401ex151_railvision"/>
      <w:bookmarkEnd w:id="101"/>
      <w:bookmarkEnd w:id="102"/>
      <w:r>
        <w:rPr>
          <w:rFonts w:ascii="Times New Roman;Times;Serif" w:hAnsi="Times New Roman;Times;Serif"/>
          <w:b/>
          <w:i w:val="false"/>
          <w:caps w:val="false"/>
          <w:smallCaps w:val="false"/>
          <w:sz w:val="20"/>
        </w:rPr>
        <w:t>Exhibit 15.1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Registration Statements on Form F-3 (File Nos. 333-271068, 333-272933, 333-276869 and 333-277963) and Form S-8 (File No. 333-265968) of our report dated March 28, 2024, relating to the financial statements of Rail Vision Ltd. appearing in this Annual Report on Form 20-F for the year ended December 31, 2023.</w:t>
      </w:r>
    </w:p>
    <w:p>
      <w:pPr>
        <w:pStyle w:val="TextBody"/>
        <w:bidi w:val="0"/>
        <w:spacing w:before="0" w:after="0"/>
        <w:ind w:left="0" w:right="0" w:hanging="0"/>
        <w:jc w:val="both"/>
        <w:rPr>
          <w:caps w:val="false"/>
          <w:smallCaps w:val="false"/>
        </w:rPr>
      </w:pPr>
      <w:r>
        <w:rPr>
          <w:caps w:val="false"/>
          <w:smallCaps w:val="false"/>
        </w:rPr>
        <w:t> </w:t>
      </w:r>
    </w:p>
    <w:tbl>
      <w:tblPr>
        <w:tblW w:w="3800" w:type="dxa"/>
        <w:jc w:val="left"/>
        <w:tblInd w:w="0" w:type="dxa"/>
        <w:tblLayout w:type="fixed"/>
        <w:tblCellMar>
          <w:top w:w="0" w:type="dxa"/>
          <w:left w:w="0" w:type="dxa"/>
          <w:bottom w:w="28" w:type="dxa"/>
          <w:right w:w="0" w:type="dxa"/>
        </w:tblCellMar>
      </w:tblPr>
      <w:tblGrid>
        <w:gridCol w:w="3725"/>
        <w:gridCol w:w="75"/>
      </w:tblGrid>
      <w:tr>
        <w:trPr/>
        <w:tc>
          <w:tcPr>
            <w:tcW w:w="3725" w:type="dxa"/>
            <w:tcBorders>
              <w:bottom w:val="single" w:sz="12" w:space="0" w:color="000000"/>
            </w:tcBorders>
            <w:vAlign w:val="center"/>
          </w:tcPr>
          <w:p>
            <w:pPr>
              <w:pStyle w:val="TableContents"/>
              <w:bidi w:val="0"/>
              <w:spacing w:before="0" w:after="283"/>
              <w:jc w:val="left"/>
              <w:rPr/>
            </w:pPr>
            <w:r>
              <w:rPr/>
              <w:t>/s/ Brightman Almagor Zohar &amp; Co.</w:t>
            </w:r>
          </w:p>
        </w:tc>
        <w:tc>
          <w:tcPr>
            <w:tcW w:w="75" w:type="dxa"/>
            <w:tcBorders/>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Brightman Almagor Zohar &amp; Co.</w:t>
            </w:r>
          </w:p>
        </w:tc>
        <w:tc>
          <w:tcPr>
            <w:tcW w:w="75" w:type="dxa"/>
            <w:tcBorders/>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Certified Public Accountants</w:t>
            </w:r>
          </w:p>
        </w:tc>
        <w:tc>
          <w:tcPr>
            <w:tcW w:w="75" w:type="dxa"/>
            <w:tcBorders/>
            <w:tcMar>
              <w:bottom w:w="0" w:type="dxa"/>
            </w:tcMar>
            <w:vAlign w:val="center"/>
          </w:tcPr>
          <w:p>
            <w:pPr>
              <w:pStyle w:val="TableContents"/>
              <w:bidi w:val="0"/>
              <w:spacing w:before="0" w:after="283"/>
              <w:jc w:val="left"/>
              <w:rPr/>
            </w:pPr>
            <w:r>
              <w:rPr/>
              <w:t> </w:t>
            </w:r>
          </w:p>
        </w:tc>
      </w:tr>
      <w:tr>
        <w:trPr/>
        <w:tc>
          <w:tcPr>
            <w:tcW w:w="3725" w:type="dxa"/>
            <w:tcBorders/>
            <w:tcMar>
              <w:bottom w:w="0" w:type="dxa"/>
            </w:tcMar>
            <w:vAlign w:val="center"/>
          </w:tcPr>
          <w:p>
            <w:pPr>
              <w:pStyle w:val="TableContents"/>
              <w:bidi w:val="0"/>
              <w:spacing w:before="0" w:after="283"/>
              <w:jc w:val="left"/>
              <w:rPr/>
            </w:pPr>
            <w:r>
              <w:rPr/>
              <w:t>A Firm in the Deloitte Global Network</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3" w:name="ea020258401ex97-1_railvision.htm"/>
      <w:bookmarkStart w:id="104" w:name="ksea020258401ex971_railvision"/>
      <w:bookmarkEnd w:id="103"/>
      <w:bookmarkEnd w:id="104"/>
      <w:r>
        <w:rPr>
          <w:rFonts w:ascii="Times New Roman;Times;Serif" w:hAnsi="Times New Roman;Times;Serif"/>
          <w:b/>
          <w:i w:val="false"/>
          <w:caps w:val="false"/>
          <w:smallCaps w:val="false"/>
          <w:sz w:val="20"/>
        </w:rPr>
        <w:t>Exhibit 97.1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Clawback Policy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1356"/>
        <w:gridCol w:w="8481"/>
      </w:tblGrid>
      <w:tr>
        <w:trPr/>
        <w:tc>
          <w:tcPr>
            <w:tcW w:w="36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8481"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Purpose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Officer Clawback Policy describes the circumstances under which Covered Persons of Rail Vision Ltd. and any of its direct or indirect subsidiaries (the “Company”) will be required to repay or return Erroneously-Awarded Compensation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and any terms used in this Policy shall be construed in accordance with any SEC regulations promulgated to comply with Section 954 of the Dodd-Frank Wall Street Reform and Consumer Protection Act of 2010, including without limitation Rule 10D-1 promulgated under the Securities Exchange Act of 1934, as amended, and the rules adopted by Nasdaq, as well as the provisions of the Israeli Companies Law of 1999 (the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Covered Person of the Company shall sign an Acknowledgement and Agreement to the Clawback Policy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as a condition to his or her participation in any of the Company’s incentive-based compensation programs; provided that this Policy shall apply to each Covered Person irrespective of whether such Covered Person shall have failed, for any reason, to have executed such Acknowledgement and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1521"/>
        <w:gridCol w:w="8416"/>
      </w:tblGrid>
      <w:tr>
        <w:trPr/>
        <w:tc>
          <w:tcPr>
            <w:tcW w:w="268"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8416"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 xml:space="preserve">Definitions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the following capitalized terms shall have the respective meanings set forth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pPr>
            <w:r>
              <w:rPr/>
              <w:t>“</w:t>
            </w:r>
            <w:r>
              <w:rPr>
                <w:rFonts w:ascii="Times New Roman;Times;Serif" w:hAnsi="Times New Roman;Times;Serif"/>
                <w:b/>
                <w:u w:val="single"/>
              </w:rPr>
              <w:t>Accounting Restatement</w:t>
            </w:r>
            <w:r>
              <w:rPr>
                <w:rFonts w:ascii="Times New Roman;Times;Serif" w:hAnsi="Times New Roman;Times;Serif"/>
              </w:rPr>
              <w:t>” shall mean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 Notwithstanding the foregoing, none of the following changes to the Company’s financial statements represent error corrections and shall not be deemed an Accounting Restatement: (a) retrospective application of a change in accounting principle; (b) retrospective revision to reportable segment information due to a change in the structure of the Company’s internal organization; (c) retrospective reclassification due to a discontinued operation; (d) retrospective application of a change in reporting entity, such as from a reorganization of entities under common control; and (e) retrospective revision for share splits, reverse share splits, share dividends or other changes in capital structure.</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13"/>
        <w:gridCol w:w="9729"/>
      </w:tblGrid>
      <w:tr>
        <w:trPr/>
        <w:tc>
          <w:tcPr>
            <w:tcW w:w="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29" w:type="dxa"/>
            <w:tcBorders/>
            <w:vAlign w:val="center"/>
          </w:tcPr>
          <w:p>
            <w:pPr>
              <w:pStyle w:val="TableContents"/>
              <w:bidi w:val="0"/>
              <w:spacing w:before="0" w:after="283"/>
              <w:jc w:val="both"/>
              <w:rPr/>
            </w:pPr>
            <w:r>
              <w:rPr/>
              <w:t>“</w:t>
            </w:r>
            <w:r>
              <w:rPr>
                <w:rFonts w:ascii="Times New Roman;Times;Serif" w:hAnsi="Times New Roman;Times;Serif"/>
                <w:b/>
                <w:u w:val="single"/>
              </w:rPr>
              <w:t>Board</w:t>
            </w:r>
            <w:r>
              <w:rPr>
                <w:rFonts w:ascii="Times New Roman;Times;Serif" w:hAnsi="Times New Roman;Times;Serif"/>
              </w:rPr>
              <w:t>” shall mean the Board of Directors of the Company.</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9" w:type="dxa"/>
            <w:tcBorders/>
            <w:vAlign w:val="center"/>
          </w:tcPr>
          <w:p>
            <w:pPr>
              <w:pStyle w:val="TableContents"/>
              <w:bidi w:val="0"/>
              <w:spacing w:before="0" w:after="283"/>
              <w:jc w:val="both"/>
              <w:rPr/>
            </w:pPr>
            <w:r>
              <w:rPr/>
              <w:t>“</w:t>
            </w:r>
            <w:r>
              <w:rPr>
                <w:rFonts w:ascii="Times New Roman;Times;Serif" w:hAnsi="Times New Roman;Times;Serif"/>
                <w:b/>
                <w:u w:val="single"/>
              </w:rPr>
              <w:t>Clawback-Eligible Incentive Compensation</w:t>
            </w:r>
            <w:r>
              <w:rPr>
                <w:rFonts w:ascii="Times New Roman;Times;Serif" w:hAnsi="Times New Roman;Times;Serif"/>
              </w:rPr>
              <w:t>” shall mean, in connection with an Accounting Restatement, any Incentive-Based Compensation Received by a Covered Person (regardless of whether such Covered Person was serving at the time that Erroneously-Awarded Compensation is required to be repaid) (i) on or after the Nasdaq Effective Date, (ii) after beginning service as a Covered Person, (iii) while the Company has a class of securities listed on a national securities exchange or national securities association and (iv) during the Clawback Period.</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6" w:type="dxa"/>
            <w:tcBorders/>
            <w:vAlign w:val="center"/>
          </w:tcPr>
          <w:p>
            <w:pPr>
              <w:pStyle w:val="TableContents"/>
              <w:bidi w:val="0"/>
              <w:spacing w:before="0" w:after="283"/>
              <w:jc w:val="both"/>
              <w:rPr/>
            </w:pPr>
            <w:r>
              <w:rPr/>
              <w:t>“</w:t>
            </w:r>
            <w:r>
              <w:rPr>
                <w:rFonts w:ascii="Times New Roman;Times;Serif" w:hAnsi="Times New Roman;Times;Serif"/>
                <w:b/>
                <w:u w:val="single"/>
              </w:rPr>
              <w:t>Clawback Period</w:t>
            </w:r>
            <w:r>
              <w:rPr>
                <w:rFonts w:ascii="Times New Roman;Times;Serif" w:hAnsi="Times New Roman;Times;Serif"/>
              </w:rPr>
              <w:t>” shall mean, with respect to any Accounting Restatement, the three completed fiscal years immediately preceding the Restatement Date and any transition period (that results from a change in the Company’s fiscal year) of less than nine months within or immediately following those three completed fiscal years.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42"/>
        <w:gridCol w:w="9807"/>
      </w:tblGrid>
      <w:tr>
        <w:trPr/>
        <w:tc>
          <w:tcPr>
            <w:tcW w:w="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07" w:type="dxa"/>
            <w:tcBorders/>
            <w:vAlign w:val="center"/>
          </w:tcPr>
          <w:p>
            <w:pPr>
              <w:pStyle w:val="TableContents"/>
              <w:bidi w:val="0"/>
              <w:spacing w:before="0" w:after="283"/>
              <w:jc w:val="both"/>
              <w:rPr/>
            </w:pPr>
            <w:r>
              <w:rPr/>
              <w:t>“</w:t>
            </w:r>
            <w:r>
              <w:rPr>
                <w:rFonts w:ascii="Times New Roman;Times;Serif" w:hAnsi="Times New Roman;Times;Serif"/>
                <w:b/>
                <w:u w:val="single"/>
              </w:rPr>
              <w:t>Committee</w:t>
            </w:r>
            <w:r>
              <w:rPr>
                <w:rFonts w:ascii="Times New Roman;Times;Serif" w:hAnsi="Times New Roman;Times;Serif"/>
              </w:rPr>
              <w:t>” shall mean the Compensation Committee of the Board.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19" w:type="dxa"/>
            <w:tcBorders/>
            <w:vAlign w:val="center"/>
          </w:tcPr>
          <w:p>
            <w:pPr>
              <w:pStyle w:val="TableContents"/>
              <w:bidi w:val="0"/>
              <w:spacing w:before="0" w:after="283"/>
              <w:jc w:val="both"/>
              <w:rPr/>
            </w:pPr>
            <w:r>
              <w:rPr/>
              <w:t>“</w:t>
            </w:r>
            <w:r>
              <w:rPr>
                <w:rFonts w:ascii="Times New Roman;Times;Serif" w:hAnsi="Times New Roman;Times;Serif"/>
                <w:b/>
                <w:u w:val="single"/>
              </w:rPr>
              <w:t>Covered Person</w:t>
            </w:r>
            <w:r>
              <w:rPr>
                <w:rFonts w:ascii="Times New Roman;Times;Serif" w:hAnsi="Times New Roman;Times;Serif"/>
              </w:rPr>
              <w:t>” shall mean any person who is, or was at any time, during the Clawback Period, an Executive Officer of the Company. For the avoidance of doubt, Covered Person may include a former Executive Officer that left the Company, retired or transitioned to an employee non-Executive Officer role (including after serving as an Executive Officer in an interim capacity) during the Clawback Period, and this Policy applies regardless of whether the Covered Person was at fault for an accounting error or other action that resulted in, or contributed to, the Accounting Restatement.</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68" w:type="dxa"/>
            <w:tcBorders/>
            <w:vAlign w:val="center"/>
          </w:tcPr>
          <w:p>
            <w:pPr>
              <w:pStyle w:val="TableContents"/>
              <w:bidi w:val="0"/>
              <w:spacing w:before="0" w:after="283"/>
              <w:jc w:val="both"/>
              <w:rPr/>
            </w:pPr>
            <w:r>
              <w:rPr/>
              <w:t>“</w:t>
            </w:r>
            <w:r>
              <w:rPr>
                <w:rFonts w:ascii="Times New Roman;Times;Serif" w:hAnsi="Times New Roman;Times;Serif"/>
                <w:b/>
                <w:u w:val="single"/>
              </w:rPr>
              <w:t>Erroneously-Awarded Compensation</w:t>
            </w:r>
            <w:r>
              <w:rPr>
                <w:rFonts w:ascii="Times New Roman;Times;Serif" w:hAnsi="Times New Roman;Times;Serif"/>
              </w:rPr>
              <w:t>” shall mean the amount of Clawback-Eligible Incentive Compensation that exceeds the amount of Incentive-Based Compensation that otherwise would have been Received had it been determined based on the restated amounts. This amount must be computed without regard to any taxes paid.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76" w:type="dxa"/>
            <w:tcBorders/>
            <w:vAlign w:val="center"/>
          </w:tcPr>
          <w:p>
            <w:pPr>
              <w:pStyle w:val="TableContents"/>
              <w:bidi w:val="0"/>
              <w:spacing w:before="0" w:after="283"/>
              <w:jc w:val="both"/>
              <w:rPr/>
            </w:pPr>
            <w:r>
              <w:rPr/>
              <w:t>“</w:t>
            </w:r>
            <w:r>
              <w:rPr>
                <w:rFonts w:ascii="Times New Roman;Times;Serif" w:hAnsi="Times New Roman;Times;Serif"/>
                <w:b/>
                <w:u w:val="single"/>
              </w:rPr>
              <w:t>Executive Officer</w:t>
            </w:r>
            <w:r>
              <w:rPr>
                <w:rFonts w:ascii="Times New Roman;Times;Serif" w:hAnsi="Times New Roman;Times;Serif"/>
              </w:rPr>
              <w:t>” shall mean (i) the Company’s president,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(ii) any other person (including an officer of the Company’s parent(s) or subsidiaries) who performs similar policy-making functions for the Company, or (iii) an “Officer” within the meaning set forth in the Companies Law. For the sake of clarity, at a minimum, all persons who would be executive officers pursuant to Rule 401(b) under Regulation S-K shall be deemed “Executive Officers”.</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2" w:type="dxa"/>
            <w:tcBorders/>
            <w:vAlign w:val="center"/>
          </w:tcPr>
          <w:p>
            <w:pPr>
              <w:pStyle w:val="TableContents"/>
              <w:bidi w:val="0"/>
              <w:spacing w:before="0" w:after="283"/>
              <w:jc w:val="both"/>
              <w:rPr/>
            </w:pPr>
            <w:r>
              <w:rPr/>
              <w:t>“</w:t>
            </w:r>
            <w:r>
              <w:rPr>
                <w:rFonts w:ascii="Times New Roman;Times;Serif" w:hAnsi="Times New Roman;Times;Serif"/>
                <w:b/>
                <w:u w:val="single"/>
              </w:rPr>
              <w:t>Financial Reporting Measures</w:t>
            </w:r>
            <w:r>
              <w:rPr>
                <w:rFonts w:ascii="Times New Roman;Times;Serif" w:hAnsi="Times New Roman;Times;Serif"/>
              </w:rPr>
              <w:t>” shall mean measures that are determined and presented in accordance with the accounting principles used in preparing the Company’s financial statements, and all other measures that are derived wholly or in part from such measures, including, without limitation, measures that are “non-GAAP financial measures” for purposes of Exchange Act Regulation G and Item 10(e) of Regulation S-K, as well other measures, metrics and ratios that are not non- GAAP measures. For purposes of this Policy, Financial Reporting Measures shall include stock price and total shareholder return (and any measures that are derived wholly or in part from stock price or total shareholder return). A Financial Reporting Measure need not be presented within the Company’s financial statements or included in a Company filing with the SEC.</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35"/>
        <w:gridCol w:w="9926"/>
      </w:tblGrid>
      <w:tr>
        <w:trPr/>
        <w:tc>
          <w:tcPr>
            <w:tcW w:w="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26" w:type="dxa"/>
            <w:tcBorders/>
            <w:vAlign w:val="center"/>
          </w:tcPr>
          <w:p>
            <w:pPr>
              <w:pStyle w:val="TableContents"/>
              <w:bidi w:val="0"/>
              <w:spacing w:before="0" w:after="283"/>
              <w:jc w:val="both"/>
              <w:rPr/>
            </w:pPr>
            <w:r>
              <w:rPr/>
              <w:t>“</w:t>
            </w:r>
            <w:r>
              <w:rPr>
                <w:rFonts w:ascii="Times New Roman;Times;Serif" w:hAnsi="Times New Roman;Times;Serif"/>
                <w:b/>
                <w:u w:val="single"/>
              </w:rPr>
              <w:t>Incentive-Based Compensation</w:t>
            </w:r>
            <w:r>
              <w:rPr>
                <w:rFonts w:ascii="Times New Roman;Times;Serif" w:hAnsi="Times New Roman;Times;Serif"/>
              </w:rPr>
              <w:t>” shall have the meaning set forth in Section III below.</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502"/>
        <w:gridCol w:w="9626"/>
      </w:tblGrid>
      <w:tr>
        <w:trPr/>
        <w:tc>
          <w:tcPr>
            <w:tcW w:w="7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626" w:type="dxa"/>
            <w:tcBorders/>
            <w:vAlign w:val="center"/>
          </w:tcPr>
          <w:p>
            <w:pPr>
              <w:pStyle w:val="TableContents"/>
              <w:bidi w:val="0"/>
              <w:spacing w:before="0" w:after="283"/>
              <w:jc w:val="both"/>
              <w:rPr/>
            </w:pPr>
            <w:r>
              <w:rPr/>
              <w:t>“</w:t>
            </w:r>
            <w:r>
              <w:rPr>
                <w:rFonts w:ascii="Times New Roman;Times;Serif" w:hAnsi="Times New Roman;Times;Serif"/>
                <w:b/>
                <w:u w:val="single"/>
              </w:rPr>
              <w:t>Nasdaq</w:t>
            </w:r>
            <w:r>
              <w:rPr>
                <w:rFonts w:ascii="Times New Roman;Times;Serif" w:hAnsi="Times New Roman;Times;Serif"/>
              </w:rPr>
              <w:t>” shall mean The Nasdaq Stock Market.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73"/>
        <w:gridCol w:w="9762"/>
      </w:tblGrid>
      <w:tr>
        <w:trPr/>
        <w:tc>
          <w:tcPr>
            <w:tcW w:w="7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762" w:type="dxa"/>
            <w:tcBorders/>
            <w:vAlign w:val="center"/>
          </w:tcPr>
          <w:p>
            <w:pPr>
              <w:pStyle w:val="TableContents"/>
              <w:bidi w:val="0"/>
              <w:spacing w:before="0" w:after="283"/>
              <w:jc w:val="both"/>
              <w:rPr/>
            </w:pPr>
            <w:r>
              <w:rPr/>
              <w:t>“</w:t>
            </w:r>
            <w:r>
              <w:rPr>
                <w:rFonts w:ascii="Times New Roman;Times;Serif" w:hAnsi="Times New Roman;Times;Serif"/>
                <w:b/>
                <w:u w:val="single"/>
              </w:rPr>
              <w:t>Nasdaq Effective Date</w:t>
            </w:r>
            <w:r>
              <w:rPr>
                <w:rFonts w:ascii="Times New Roman;Times;Serif" w:hAnsi="Times New Roman;Times;Serif"/>
              </w:rPr>
              <w:t>” shall mean October 2, 2023.</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889" w:type="dxa"/>
            <w:tcBorders/>
            <w:vAlign w:val="center"/>
          </w:tcPr>
          <w:p>
            <w:pPr>
              <w:pStyle w:val="TableContents"/>
              <w:bidi w:val="0"/>
              <w:spacing w:before="0" w:after="283"/>
              <w:jc w:val="both"/>
              <w:rPr/>
            </w:pPr>
            <w:r>
              <w:rPr/>
              <w:t>“</w:t>
            </w:r>
            <w:r>
              <w:rPr>
                <w:rFonts w:ascii="Times New Roman;Times;Serif" w:hAnsi="Times New Roman;Times;Serif"/>
                <w:b/>
                <w:u w:val="single"/>
              </w:rPr>
              <w:t>Policy</w:t>
            </w:r>
            <w:r>
              <w:rPr>
                <w:rFonts w:ascii="Times New Roman;Times;Serif" w:hAnsi="Times New Roman;Times;Serif"/>
              </w:rPr>
              <w:t>” shall mean this Executive Officer Clawback Policy, as the same may be amended and/or restated from time to time.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9964" w:type="dxa"/>
            <w:tcBorders/>
            <w:vAlign w:val="center"/>
          </w:tcPr>
          <w:p>
            <w:pPr>
              <w:pStyle w:val="TableContents"/>
              <w:bidi w:val="0"/>
              <w:spacing w:before="0" w:after="283"/>
              <w:jc w:val="both"/>
              <w:rPr/>
            </w:pPr>
            <w:r>
              <w:rPr/>
              <w:t>“</w:t>
            </w:r>
            <w:r>
              <w:rPr>
                <w:rFonts w:ascii="Times New Roman;Times;Serif" w:hAnsi="Times New Roman;Times;Serif"/>
                <w:b/>
                <w:u w:val="single"/>
              </w:rPr>
              <w:t>Received</w:t>
            </w:r>
            <w:r>
              <w:rPr>
                <w:rFonts w:ascii="Times New Roman;Times;Serif" w:hAnsi="Times New Roman;Times;Serif"/>
              </w:rPr>
              <w:t>” shall mean Incentive-Based Compensation received, or deemed to be received, in the Company’s fiscal period during which the Financial Reporting Measure specified in the Incentive-Based Compensation is attained, even if the payment or grant occurs after the fiscal period.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17"/>
        <w:gridCol w:w="9839"/>
      </w:tblGrid>
      <w:tr>
        <w:trPr/>
        <w:tc>
          <w:tcPr>
            <w:tcW w:w="4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839" w:type="dxa"/>
            <w:tcBorders/>
            <w:vAlign w:val="center"/>
          </w:tcPr>
          <w:p>
            <w:pPr>
              <w:pStyle w:val="TableContents"/>
              <w:bidi w:val="0"/>
              <w:spacing w:before="0" w:after="283"/>
              <w:jc w:val="both"/>
              <w:rPr/>
            </w:pPr>
            <w:r>
              <w:rPr/>
              <w:t>“</w:t>
            </w:r>
            <w:r>
              <w:rPr>
                <w:rFonts w:ascii="Times New Roman;Times;Serif" w:hAnsi="Times New Roman;Times;Serif"/>
                <w:b/>
                <w:u w:val="single"/>
              </w:rPr>
              <w:t>Repayment Agreement</w:t>
            </w:r>
            <w:r>
              <w:rPr>
                <w:rFonts w:ascii="Times New Roman;Times;Serif" w:hAnsi="Times New Roman;Times;Serif"/>
              </w:rPr>
              <w:t>” shall have the meaning set forth in Section V below.</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9970" w:type="dxa"/>
            <w:tcBorders/>
            <w:vAlign w:val="center"/>
          </w:tcPr>
          <w:p>
            <w:pPr>
              <w:pStyle w:val="TableContents"/>
              <w:bidi w:val="0"/>
              <w:spacing w:before="0" w:after="283"/>
              <w:jc w:val="both"/>
              <w:rPr/>
            </w:pPr>
            <w:r>
              <w:rPr/>
              <w:t>“</w:t>
            </w:r>
            <w:r>
              <w:rPr>
                <w:rFonts w:ascii="Times New Roman;Times;Serif" w:hAnsi="Times New Roman;Times;Serif"/>
                <w:b/>
                <w:u w:val="single"/>
              </w:rPr>
              <w:t>Restatement Date</w:t>
            </w:r>
            <w:r>
              <w:rPr>
                <w:rFonts w:ascii="Times New Roman;Times;Serif" w:hAnsi="Times New Roman;Times;Serif"/>
              </w:rPr>
              <w:t>” shall mean the earlier of (i) the date the Board, a committee of the Board or the officers of the Company authorized to take such action if Board action is not required, concludes, or reasonably should have concluded, that the Company is required to prepare an Accounting Restatement, or (ii) the date that a court, regulator or other legally authorized body directs the Company to prepare an Accounting Restatement.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544"/>
        <w:gridCol w:w="9577"/>
      </w:tblGrid>
      <w:tr>
        <w:trPr/>
        <w:tc>
          <w:tcPr>
            <w:tcW w:w="8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w:t>
            </w:r>
          </w:p>
        </w:tc>
        <w:tc>
          <w:tcPr>
            <w:tcW w:w="9577" w:type="dxa"/>
            <w:tcBorders/>
            <w:vAlign w:val="center"/>
          </w:tcPr>
          <w:p>
            <w:pPr>
              <w:pStyle w:val="TableContents"/>
              <w:bidi w:val="0"/>
              <w:spacing w:before="0" w:after="283"/>
              <w:jc w:val="both"/>
              <w:rPr/>
            </w:pPr>
            <w:r>
              <w:rPr/>
              <w:t>“</w:t>
            </w:r>
            <w:r>
              <w:rPr>
                <w:rFonts w:ascii="Times New Roman;Times;Serif" w:hAnsi="Times New Roman;Times;Serif"/>
                <w:b/>
                <w:u w:val="single"/>
              </w:rPr>
              <w:t>SARs</w:t>
            </w:r>
            <w:r>
              <w:rPr>
                <w:rFonts w:ascii="Times New Roman;Times;Serif" w:hAnsi="Times New Roman;Times;Serif"/>
              </w:rPr>
              <w:t>” shall mean stock appreciation rights.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1"/>
        <w:gridCol w:w="9835"/>
      </w:tblGrid>
      <w:tr>
        <w:trPr/>
        <w:tc>
          <w:tcPr>
            <w:tcW w:w="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t>
            </w:r>
          </w:p>
        </w:tc>
        <w:tc>
          <w:tcPr>
            <w:tcW w:w="9835" w:type="dxa"/>
            <w:tcBorders/>
            <w:vAlign w:val="center"/>
          </w:tcPr>
          <w:p>
            <w:pPr>
              <w:pStyle w:val="TableContents"/>
              <w:bidi w:val="0"/>
              <w:spacing w:before="0" w:after="283"/>
              <w:jc w:val="both"/>
              <w:rPr/>
            </w:pPr>
            <w:r>
              <w:rPr/>
              <w:t>“</w:t>
            </w:r>
            <w:r>
              <w:rPr>
                <w:rFonts w:ascii="Times New Roman;Times;Serif" w:hAnsi="Times New Roman;Times;Serif"/>
                <w:b/>
                <w:u w:val="single"/>
              </w:rPr>
              <w:t>SEC</w:t>
            </w:r>
            <w:r>
              <w:rPr>
                <w:rFonts w:ascii="Times New Roman;Times;Serif" w:hAnsi="Times New Roman;Times;Serif"/>
              </w:rPr>
              <w:t>” shall mean the U.S. Securities and Exchange Commission.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828"/>
        <w:gridCol w:w="9269"/>
      </w:tblGrid>
      <w:tr>
        <w:trPr/>
        <w:tc>
          <w:tcPr>
            <w:tcW w:w="10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III.</w:t>
            </w:r>
          </w:p>
        </w:tc>
        <w:tc>
          <w:tcPr>
            <w:tcW w:w="9269"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 xml:space="preserve">Incentive-Based Compensation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Incentive-Based Compensation” shall mean any compensation that is granted, earned or vested wholly or in part upon the attainment of a Financial Reporting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specific examples of Incentive-Based Compensation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Non-equity incentive plan awards that are earned based, wholly or in part, based on satisfaction of a Financial Reporting Measure performance goal;</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Bonuses paid from a “bonus pool,” the size of which is determined, wholly or in part, based on satisfaction of a Financial Reporting Measure performance goal;</w:t>
            </w:r>
          </w:p>
        </w:tc>
      </w:tr>
    </w:tbl>
    <w:tbl>
      <w:tblPr>
        <w:tblW w:w="5000" w:type="pct"/>
        <w:jc w:val="left"/>
        <w:tblInd w:w="0" w:type="dxa"/>
        <w:tblLayout w:type="fixed"/>
        <w:tblCellMar>
          <w:top w:w="0" w:type="dxa"/>
          <w:left w:w="0" w:type="dxa"/>
          <w:bottom w:w="0" w:type="dxa"/>
          <w:right w:w="0" w:type="dxa"/>
        </w:tblCellMar>
      </w:tblPr>
      <w:tblGrid>
        <w:gridCol w:w="42"/>
        <w:gridCol w:w="193"/>
        <w:gridCol w:w="9970"/>
      </w:tblGrid>
      <w:tr>
        <w:trPr/>
        <w:tc>
          <w:tcPr>
            <w:tcW w:w="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cash awards based on satisfaction of a Financial Reporting Measure performance goal;</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stock, restricted stock units, performance share units, stock options and SARs that are granted or become vested, wholly or in part, on satisfaction of a Financial Reporting Measure performance goal;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Proceeds received upon the sale of shares acquired through an incentive plan that were granted or vested based, wholly or in part, on satisfaction of a Financial Reporting Measure performance goal.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Incentive-Based Compensation excludes: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base salaries (except with respect to any salary increases earned, wholly or in part, based on satisfaction of a Financial Reporting Measure performance goal);</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Bonuses paid solely at the discretion of the Committee or Board that are not paid from a “bonus pool” that is determined by satisfying a Financial Reporting Measure performance goal;</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Bonuses paid solely upon satisfying one or more subjective standards and/or completion of a specified employment period;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Non-equity incentive plan awards earned solely upon satisfying one or more strategic measures or operational measures;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Equity awards that vest solely based on the passage of time and/or satisfaction of one or more non-Financial Reporting Measures.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4"/>
        <w:gridCol w:w="9791"/>
      </w:tblGrid>
      <w:tr>
        <w:trPr/>
        <w:tc>
          <w:tcPr>
            <w:tcW w:w="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IV.</w:t>
            </w:r>
          </w:p>
        </w:tc>
        <w:tc>
          <w:tcPr>
            <w:tcW w:w="9791"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 xml:space="preserve">Determination and Calculation of Erroneously-Awarded Compensation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 Accounting Restatement, the Committee shall promptly determine the amount of any Erroneously-Awarded Compensation for each Executive Officer in connection with such Accounting Restatement and shall promptly thereafter provide each Executive Officer with a written notice containing the amount of Erroneously-Awarded Compensation and a demand for repayment, forfeiture or return thereof, as applicable.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Cash Awards</w:t>
            </w:r>
            <w:r>
              <w:rPr>
                <w:rFonts w:ascii="Times New Roman;Times;Serif" w:hAnsi="Times New Roman;Times;Serif"/>
              </w:rPr>
              <w:t>. With respect to cash awards, the Erroneously-Awarded Compensation is the difference between the amount of the cash award (whether payable as a lump sum or over time) that was Received and the amount that should have been Received applying the restated Financial Reporting Measure.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Cash Awards Paid From Bonus Pools</w:t>
            </w:r>
            <w:r>
              <w:rPr>
                <w:rFonts w:ascii="Times New Roman;Times;Serif" w:hAnsi="Times New Roman;Times;Serif"/>
              </w:rPr>
              <w:t>. With respect to cash awards paid from bonus pools, the Erroneously-Awarded Compensation is the pro rata portion of any deficiency that results from the aggregate bonus pool that is reduced based on applying the restated Financial Reporting Measure.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Equity Awards</w:t>
            </w:r>
            <w:r>
              <w:rPr>
                <w:rFonts w:ascii="Times New Roman;Times;Serif" w:hAnsi="Times New Roman;Times;Serif"/>
              </w:rPr>
              <w:t>. With respect to equity awards, if the shares, options, SARs or other equity awards are still held at the time of recovery, the Erroneously-Awarded Compensation is the number of such securities Received in excess of the number that should have been received applying the restated Financial Reporting Measure (or the value in excess of that number). If the options, SARs or other equity awards have been exercised, vested, settled or otherwise converted into underlying shares, but the underlying shares have not been sold, the Erroneously-Awarded Compensation is the number of shares underlying the excess options or SARs (or the value thereof). If the underlying shares have already been sold, the Erroneously-Awarded Compensation is the higher of the value of the stock upon vesting, exercise or sale.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Compensation Based on Stock Price or Total Shareholder Return</w:t>
            </w:r>
            <w:r>
              <w:rPr>
                <w:rFonts w:ascii="Times New Roman;Times;Serif" w:hAnsi="Times New Roman;Times;Serif"/>
              </w:rPr>
              <w:t>. For Incentive-Based Compensation based on (or derived from) stock price or total shareholder return, where the amount of Erroneously-Awarded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Committee shall maintain documentation of such determination of that reasonable estimate and provide such documentation to Nasdaq in accordance with applicable listing standards).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75"/>
        <w:gridCol w:w="9759"/>
      </w:tblGrid>
      <w:tr>
        <w:trPr/>
        <w:tc>
          <w:tcPr>
            <w:tcW w:w="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w:t>
            </w:r>
          </w:p>
        </w:tc>
        <w:tc>
          <w:tcPr>
            <w:tcW w:w="9759"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 xml:space="preserve">Recovery of Erroneously-Awarded Compensation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Committee has determined the amount of Erroneously-Awarded Compensation recoverable from the applicable Covered Person, the Committee shall take all necessary actions to recover the Erroneously-Awarded Compensation. Unless otherwise determined by the Committee, the Committee shall pursue the recovery of Erroneously-Awarded Compensation in accordance with the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Cash Awards</w:t>
            </w:r>
            <w:r>
              <w:rPr>
                <w:rFonts w:ascii="Times New Roman;Times;Serif" w:hAnsi="Times New Roman;Times;Serif"/>
              </w:rPr>
              <w:t>. With respect to cash awards, the Committee shall either (i) require the Covered Person to repay the Erroneously-Awarded Compensation in a lump sum in cash (or such property as the Committee agrees to accept with a value equal to such Erroneously-Awarded Compensation) reasonably promptly following the Restatement Date or (ii) if approved by the Committee, offer to enter into a Repayment Agreement. If the Covered Person accepts such offer and signs the Repayment Agreement within a reasonable time as determined by the Committee, the Company shall countersign such Repayment Agreement.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Unvested Equity Awards</w:t>
            </w:r>
            <w:r>
              <w:rPr>
                <w:rFonts w:ascii="Times New Roman;Times;Serif" w:hAnsi="Times New Roman;Times;Serif"/>
              </w:rPr>
              <w:t>. With respect to those equity awards that have not yet vested, the Committee shall take all necessary action to cancel, or otherwise cause to be forfeited, the awards in the amount of the Erroneously-Awarded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Vested Equity Awards</w:t>
            </w:r>
            <w:r>
              <w:rPr>
                <w:rFonts w:ascii="Times New Roman;Times;Serif" w:hAnsi="Times New Roman;Times;Serif"/>
              </w:rPr>
              <w:t>. With respect to those equity awards that have vested and the underlying shares have not been sold, the Committee shall take all necessary action to cause the Covered Person to deliver and surrender the underlying shares in the amount of the Erroneously-Awarded Compensation.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Covered Person has sold the underlying shares, the Committee shall either (i) require the Covered Person to repay the Erroneously-Awarded Compensation in a lump sum in cash (or such property as the Committee agrees to accept with a value equal to such Erroneously-Awarded Compensation) reasonably promptly following the Restatement Date or (ii) if approved by the Committee, offer to enter into a Repayment Agreement. If the Covered Person accepts such offer and signs the Repayment Agreement within a reasonable time as determined by the Committee, the Company shall countersign such Repayment Agreement.</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Repayment Agreement</w:t>
            </w:r>
            <w:r>
              <w:rPr>
                <w:rFonts w:ascii="Times New Roman;Times;Serif" w:hAnsi="Times New Roman;Times;Serif"/>
              </w:rPr>
              <w:t>. “Repayment Agreement” shall mean an agreement (in a form reasonably acceptable to the Committee) with the Covered Person for the repayment of the Erroneously-Awarded Compensation as promptly as possible without unreasonable economic hardship to the Covered Person.</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u w:val="single"/>
              </w:rPr>
              <w:t>Effect of Non-Repayment</w:t>
            </w:r>
            <w:r>
              <w:rPr>
                <w:rFonts w:ascii="Times New Roman;Times;Serif" w:hAnsi="Times New Roman;Times;Serif"/>
              </w:rPr>
              <w:t>. To the extent that a Covered Person fails to repay all Erroneously-Awarded Compensation to the Company when due (as determined in accordance with this Policy), the Company shall, or shall cause one or more other members of the Company to, take all actions reasonable and appropriate to recover such Erroneously-Awarded Compensation from the applicable Covered Person. Unless otherwise determined by the Committee in its discretion, the applicable Covered Person shall be required to reimburse the Company for any and all expenses reasonably incurred (including legal fees) by the Company in recovering such Erroneously-Awarded Compensation in accordance with the immediately preceding sentence.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broad discretion to determine the appropriate means of recovery of Erroneously-Awarded Compensation based on all applicable facts and circumstances and taking into account the time value of money and the cost to shareholders of delaying recovery. However, in no event may the Company accept an amount that is less than the amount of Erroneously-Awarded Compensation in satisfaction of a Covered Person’s obligations hereunder.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21"/>
        <w:gridCol w:w="9043"/>
      </w:tblGrid>
      <w:tr>
        <w:trPr/>
        <w:tc>
          <w:tcPr>
            <w:tcW w:w="1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w:t>
            </w:r>
          </w:p>
        </w:tc>
        <w:tc>
          <w:tcPr>
            <w:tcW w:w="9043"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Discretionary Recovery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the Company shall not be required to take action to recover Erroneously-Awarded Compensation if any one of the following conditions are met and the Committee determines that recovery would be impracticable: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direct expenses paid to a third party to assist in enforcing this Policy against a Covered Person would exceed the amount to be recovered, after the Company has made a reasonable attempt to recover the applicable Erroneously-Awarded Compensation, documented such attempts and provided such documentation to Nasdaq;</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Recovery would violate home country law where that law was adopted prior to November 28, 2022, provided that, before determining that it would be impracticable to recover any amount of Erroneously-Awarded Compensation based on violation of home country law, the Company has obtained an opinion of home country counsel, acceptable to Nasdaq, that recovery would result in such a violation and a copy of the opinion is provided to Nasdaq;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Recovery would likely cause an otherwise tax-qualified retirement plan, under which benefits are broadly available to employees of the Company, to fail to meet the requirements of 26 U.S.C. 401(a)(13) or 26 U.S.C. 411(a) and regulations thereunder.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793"/>
        <w:gridCol w:w="9326"/>
      </w:tblGrid>
      <w:tr>
        <w:trPr/>
        <w:tc>
          <w:tcPr>
            <w:tcW w:w="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VII.</w:t>
            </w:r>
          </w:p>
        </w:tc>
        <w:tc>
          <w:tcPr>
            <w:tcW w:w="9326"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Reporting and Disclosure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all disclosures with respect to this Policy in accordance with the requirements of the federal securities laws, including the disclosure required by the applicable filings required to be made with the SEC.</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2255"/>
        <w:gridCol w:w="7749"/>
      </w:tblGrid>
      <w:tr>
        <w:trPr/>
        <w:tc>
          <w:tcPr>
            <w:tcW w:w="20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VIII.</w:t>
            </w:r>
          </w:p>
        </w:tc>
        <w:tc>
          <w:tcPr>
            <w:tcW w:w="7749"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Effective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apply to any Incentive-Based Compensation Received on or after the Nasdaq Effective Date.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182"/>
        <w:gridCol w:w="8860"/>
      </w:tblGrid>
      <w:tr>
        <w:trPr/>
        <w:tc>
          <w:tcPr>
            <w:tcW w:w="16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IX.</w:t>
            </w:r>
          </w:p>
        </w:tc>
        <w:tc>
          <w:tcPr>
            <w:tcW w:w="8860"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 xml:space="preserve">No Indemnification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any Covered Person against the loss of Erroneously-Awarded Compensation and shall not pay, or reimburse any Covered Persons for premiums, for any insurance policy to fund such Covered Person’s potential recovery obligations.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087"/>
        <w:gridCol w:w="8912"/>
      </w:tblGrid>
      <w:tr>
        <w:trPr/>
        <w:tc>
          <w:tcPr>
            <w:tcW w:w="20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w:t>
            </w:r>
          </w:p>
        </w:tc>
        <w:tc>
          <w:tcPr>
            <w:tcW w:w="8912"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 xml:space="preserve">Administration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has the sole discretion to administer this Policy and ensure compliance with Nasdaq Rules and any other applicable law, regulation, rule or interpretation of the SEC or Nasdaq promulgated or issued in connection therewith. Actions of the Committee pursuant to this Policy shall be taken by the vote of a majority of its members. The Committee shall, subject to the provisions of this Policy, make such determinations and interpretations and take such actions as it deems necessary, appropriate or advisable. All determinations and interpretations made by the Committee shall be final, binding and conclusive.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912"/>
        <w:gridCol w:w="9168"/>
      </w:tblGrid>
      <w:tr>
        <w:trPr/>
        <w:tc>
          <w:tcPr>
            <w:tcW w:w="12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XI.</w:t>
            </w:r>
          </w:p>
        </w:tc>
        <w:tc>
          <w:tcPr>
            <w:tcW w:w="9168"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 xml:space="preserve">Amendment; Termination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amend this Policy from time to time in its discretion and shall amend this Policy as it deems necessary, including as and when it determines that it is legally required by any federal securities laws, SEC rule, the Companies Law or the rules of any national securities exchange or national securities association on which the Company’s securities are then listed. The Committee may terminate this Policy at any time. Notwithstanding anything in this Section XI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the Companies Law or the rules of any national securities exchange or national securities association on which the Company’s securities are then listed.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625"/>
        <w:gridCol w:w="9513"/>
      </w:tblGrid>
      <w:tr>
        <w:trPr/>
        <w:tc>
          <w:tcPr>
            <w:tcW w:w="6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XII.</w:t>
            </w:r>
          </w:p>
        </w:tc>
        <w:tc>
          <w:tcPr>
            <w:tcW w:w="9513"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Other Recoupment Rights; No Additional Payments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intends that this Policy will be applied to the fullest extent of the law. The Committee may require that any employment agreement, equity award agreement or any other agreement entered into on or after the Adoption Date shall, as a condition to the grant of any benefit thereunder, require a Covered Person to agree to abide by the terms of this Policy. Any right of recoupment under this Policy is in addition to, and not in lieu of, any other rights under applicable law, regulation or rule or pursuant to any similar policy in any employment agreement, equity plan, compensation policy, equity award agreement or similar arrangement and any other legal remedies available to the Company. However, this Policy shall not provide for recovery of Incentive-Based Compensation that the Company has already recovered pursuant to Section 304 of the Sarbanes-Oxley Act or other recovery obligations.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2648"/>
        <w:gridCol w:w="7321"/>
      </w:tblGrid>
      <w:tr>
        <w:trPr/>
        <w:tc>
          <w:tcPr>
            <w:tcW w:w="236"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XIII.</w:t>
            </w:r>
          </w:p>
        </w:tc>
        <w:tc>
          <w:tcPr>
            <w:tcW w:w="7321" w:type="dxa"/>
            <w:tcBorders/>
            <w:vAlign w:val="center"/>
          </w:tcPr>
          <w:p>
            <w:pPr>
              <w:pStyle w:val="TableContents"/>
              <w:bidi w:val="0"/>
              <w:spacing w:before="0" w:after="283"/>
              <w:jc w:val="both"/>
              <w:rPr>
                <w:rFonts w:ascii="Times New Roman;Times;Serif" w:hAnsi="Times New Roman;Times;Serif"/>
                <w:b/>
                <w:u w:val="single"/>
              </w:rPr>
            </w:pPr>
            <w:r>
              <w:rPr>
                <w:rFonts w:ascii="Times New Roman;Times;Serif" w:hAnsi="Times New Roman;Times;Serif"/>
                <w:b/>
                <w:u w:val="single"/>
              </w:rPr>
              <w:t xml:space="preserve">Successors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Covered Persons and their beneficiaries, heirs, executors, administrators or other legal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ACKNOWLEDGEMENT AND AGREEMENT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CLAWBACK POLICY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acknowledges and confirms that the undersigned has received and reviewed a copy of Rail Vision Ltd. Executive Officer Clawback Policy (the “Policy”). Capitalized terms used but not otherwise defined in this Acknowledgement Form (this “Acknowledgement Form”) shall have the meanings ascribed to such terms in the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Erroneously-Awarded Compensation (as defined in the Policy) to the Company to the extent required by, and in a manner permitted by, the Policy.</w:t>
      </w:r>
    </w:p>
    <w:p>
      <w:pPr>
        <w:pStyle w:val="TextBody"/>
        <w:bidi w:val="0"/>
        <w:spacing w:before="0" w:after="0"/>
        <w:ind w:left="0" w:right="0" w:hanging="0"/>
        <w:jc w:val="both"/>
        <w:rPr>
          <w:caps w:val="false"/>
          <w:smallCaps w:val="false"/>
        </w:rPr>
      </w:pPr>
      <w:r>
        <w:rPr>
          <w:caps w:val="false"/>
          <w:smallCaps w:val="false"/>
        </w:rPr>
        <w:t> </w:t>
      </w:r>
    </w:p>
    <w:tbl>
      <w:tblPr>
        <w:tblW w:w="890" w:type="dxa"/>
        <w:jc w:val="left"/>
        <w:tblInd w:w="0" w:type="dxa"/>
        <w:tblLayout w:type="fixed"/>
        <w:tblCellMar>
          <w:top w:w="0" w:type="dxa"/>
          <w:left w:w="0" w:type="dxa"/>
          <w:bottom w:w="0" w:type="dxa"/>
          <w:right w:w="0" w:type="dxa"/>
        </w:tblCellMar>
      </w:tblPr>
      <w:tblGrid>
        <w:gridCol w:w="75"/>
        <w:gridCol w:w="815"/>
      </w:tblGrid>
      <w:tr>
        <w:trPr/>
        <w:tc>
          <w:tcPr>
            <w:tcW w:w="75" w:type="dxa"/>
            <w:tcBorders/>
            <w:vAlign w:val="center"/>
          </w:tcPr>
          <w:p>
            <w:pPr>
              <w:pStyle w:val="TableContents"/>
              <w:bidi w:val="0"/>
              <w:spacing w:before="0" w:after="283"/>
              <w:jc w:val="left"/>
              <w:rPr/>
            </w:pPr>
            <w:r>
              <w:rPr/>
              <w:t> </w:t>
            </w:r>
          </w:p>
        </w:tc>
        <w:tc>
          <w:tcPr>
            <w:tcW w:w="81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w:t>
            </w:r>
          </w:p>
        </w:tc>
      </w:tr>
      <w:tr>
        <w:trPr/>
        <w:tc>
          <w:tcPr>
            <w:tcW w:w="75" w:type="dxa"/>
            <w:tcBorders/>
            <w:vAlign w:val="center"/>
          </w:tcPr>
          <w:p>
            <w:pPr>
              <w:pStyle w:val="TableContents"/>
              <w:bidi w:val="0"/>
              <w:spacing w:before="0" w:after="283"/>
              <w:jc w:val="left"/>
              <w:rPr/>
            </w:pPr>
            <w:r>
              <w:rPr/>
              <w:t> </w:t>
            </w:r>
          </w:p>
        </w:tc>
        <w:tc>
          <w:tcPr>
            <w:tcW w:w="81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815"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Date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www.sec.gov/Archives/edgar/data/1743905/000121390024022842/ea020184201ex3-1_railvision.htm" TargetMode="External"/><Relationship Id="rId7" Type="http://schemas.openxmlformats.org/officeDocument/2006/relationships/hyperlink" Target="http://www.sec.gov/Archives/edgar/data/1743905/000121390022014921/ea156933ex4-3_railvision.htm" TargetMode="External"/><Relationship Id="rId8" Type="http://schemas.openxmlformats.org/officeDocument/2006/relationships/hyperlink" Target="http://www.sec.gov/Archives/edgar/data/1743905/000121390022014921/ea156933ex4-1_railvision.htm" TargetMode="External"/><Relationship Id="rId9" Type="http://schemas.openxmlformats.org/officeDocument/2006/relationships/hyperlink" Target="http://www.sec.gov/Archives/edgar/data/1743905/000121390022014921/ea156933ex4-2_railvision.htm" TargetMode="External"/><Relationship Id="rId10" Type="http://schemas.openxmlformats.org/officeDocument/2006/relationships/hyperlink" Target="http://www.sec.gov/Archives/edgar/data/1743905/000121390022014921/ea156933ex10-1_railvision.htm" TargetMode="External"/><Relationship Id="rId11" Type="http://schemas.openxmlformats.org/officeDocument/2006/relationships/hyperlink" Target="http://www.sec.gov/Archives/edgar/data/1743905/000121390022014921/ea156933ex10-3_railvision.htm" TargetMode="External"/><Relationship Id="rId12" Type="http://schemas.openxmlformats.org/officeDocument/2006/relationships/hyperlink" Target="http://www.sec.gov/Archives/edgar/data/1743905/000121390022014921/ea156933ex10-4_railvision.htm" TargetMode="External"/><Relationship Id="rId13" Type="http://schemas.openxmlformats.org/officeDocument/2006/relationships/hyperlink" Target="http://www.sec.gov/Archives/edgar/data/1743905/000121390022011664/ea156426ex10-6_railvision.htm" TargetMode="External"/><Relationship Id="rId14" Type="http://schemas.openxmlformats.org/officeDocument/2006/relationships/hyperlink" Target="http://www.sec.gov/Archives/edgar/data/1743905/000121390022011664/ea156426ex10-7_railvision.htm" TargetMode="External"/><Relationship Id="rId15" Type="http://schemas.openxmlformats.org/officeDocument/2006/relationships/hyperlink" Target="http://www.sec.gov/Archives/edgar/data/1743905/000121390022011664/ea156426ex10-8_railvision.htm" TargetMode="External"/><Relationship Id="rId16" Type="http://schemas.openxmlformats.org/officeDocument/2006/relationships/hyperlink" Target="http://www.sec.gov/Archives/edgar/data/1743905/000121390023038312/ea178285ex10-1_railvision.htm" TargetMode="External"/><Relationship Id="rId17" Type="http://schemas.openxmlformats.org/officeDocument/2006/relationships/hyperlink" Target="http://www.sec.gov/Archives/edgar/data/1743905/000121390023038312/ea178285ex10-2_railvision.htm" TargetMode="External"/><Relationship Id="rId18" Type="http://schemas.openxmlformats.org/officeDocument/2006/relationships/hyperlink" Target="http://www.sec.gov/Archives/edgar/data/1743905/000121390023039329/ea178448ex10-1_railvision.htm" TargetMode="External"/><Relationship Id="rId19" Type="http://schemas.openxmlformats.org/officeDocument/2006/relationships/hyperlink" Target="http://www.sec.gov/Archives/edgar/data/1743905/000121390023038312/ea178285ex10-3_railvision.htm" TargetMode="External"/><Relationship Id="rId20" Type="http://schemas.openxmlformats.org/officeDocument/2006/relationships/hyperlink" Target="http://www.sec.gov/Archives/edgar/data/1743905/000121390023038312/ea178285ex10-4_railvision.htm" TargetMode="External"/><Relationship Id="rId21" Type="http://schemas.openxmlformats.org/officeDocument/2006/relationships/hyperlink" Target="http://www.sec.gov/Archives/edgar/data/1743905/000121390024008437/ea192499ex99-1_railvision.htm" TargetMode="External"/><Relationship Id="rId22" Type="http://schemas.openxmlformats.org/officeDocument/2006/relationships/hyperlink" Target="http://www.sec.gov/Archives/edgar/data/1743905/000121390024008437/ea192499ex99-2_railvision.htm" TargetMode="External"/><Relationship Id="rId23" Type="http://schemas.openxmlformats.org/officeDocument/2006/relationships/hyperlink" Target="http://www.sec.gov/Archives/edgar/data/1743905/000121390024008437/ea192499ex99-3_railvision.htm" TargetMode="External"/><Relationship Id="rId24" Type="http://schemas.openxmlformats.org/officeDocument/2006/relationships/hyperlink" Target="http://www.sec.gov/Archives/edgar/data/1743905/000121390024008437/ea192499ex99-4_railvision.htm" TargetMode="External"/><Relationship Id="rId25" Type="http://schemas.openxmlformats.org/officeDocument/2006/relationships/hyperlink" Target="http://www.sec.gov/Archives/edgar/data/1743905/000121390024002353/ea191381ex99-1_railvision.htm" TargetMode="External"/><Relationship Id="rId26" Type="http://schemas.openxmlformats.org/officeDocument/2006/relationships/hyperlink" Target="http://www.sec.gov/Archives/edgar/data/1743905/000121390024002353/ea191381ex99-2_railvision.htm" TargetMode="External"/><Relationship Id="rId27" Type="http://schemas.openxmlformats.org/officeDocument/2006/relationships/image" Target="media/image5.jpeg"/><Relationship Id="rId28" Type="http://schemas.openxmlformats.org/officeDocument/2006/relationships/image" Target="media/image6.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91409</Words>
  <Characters>484192</Characters>
  <CharactersWithSpaces>577360</CharactersWithSpaces>
  <Paragraphs>9668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