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37"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89"/>
        <w:spacing w:after="0" w:line="500" w:lineRule="auto"/>
        <w:tabs>
          <w:tab w:leader="none" w:pos="1323" w:val="left"/>
        </w:tabs>
        <w:numPr>
          <w:ilvl w:val="2"/>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40" w:hanging="197"/>
        <w:spacing w:after="0"/>
        <w:tabs>
          <w:tab w:leader="none" w:pos="114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4380" w:right="720" w:hanging="3654"/>
        <w:spacing w:after="0" w:line="486" w:lineRule="auto"/>
        <w:tabs>
          <w:tab w:leader="none" w:pos="92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No.: 001-41334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RAIL VISION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Translation of registrant’s name into English: </w:t>
      </w:r>
      <w:r>
        <w:rPr>
          <w:rFonts w:ascii="Times New Roman" w:cs="Times New Roman" w:eastAsia="Times New Roman" w:hAnsi="Times New Roman"/>
          <w:sz w:val="18"/>
          <w:szCs w:val="18"/>
          <w:color w:val="auto"/>
        </w:rPr>
        <w:t>Not applicable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15 Ha’Tidhar St</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Ra’anana, 4366517 Israel</w:t>
            </w:r>
          </w:p>
        </w:tc>
      </w:tr>
      <w:tr>
        <w:trPr>
          <w:trHeight w:val="238"/>
        </w:trPr>
        <w:tc>
          <w:tcPr>
            <w:tcW w:w="696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42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Tel: +972-9-957-7706</w:t>
            </w:r>
          </w:p>
        </w:tc>
      </w:tr>
      <w:tr>
        <w:trPr>
          <w:trHeight w:val="230"/>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(Jurisdiction of incorporation or organization)</w:t>
            </w: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r>
      <w:tr>
        <w:trPr>
          <w:trHeight w:val="389"/>
        </w:trPr>
        <w:tc>
          <w:tcPr>
            <w:tcW w:w="696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Shahar Hania</w:t>
            </w:r>
          </w:p>
        </w:tc>
        <w:tc>
          <w:tcPr>
            <w:tcW w:w="4280" w:type="dxa"/>
            <w:vAlign w:val="bottom"/>
          </w:tcPr>
          <w:p>
            <w:pPr>
              <w:spacing w:after="0"/>
              <w:rPr>
                <w:sz w:val="24"/>
                <w:szCs w:val="24"/>
                <w:color w:val="auto"/>
              </w:rPr>
            </w:pPr>
          </w:p>
        </w:tc>
      </w:tr>
      <w:tr>
        <w:trPr>
          <w:trHeight w:val="216"/>
        </w:trPr>
        <w:tc>
          <w:tcPr>
            <w:tcW w:w="696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4280" w:type="dxa"/>
            <w:vAlign w:val="bottom"/>
          </w:tcPr>
          <w:p>
            <w:pPr>
              <w:spacing w:after="0"/>
              <w:rPr>
                <w:sz w:val="18"/>
                <w:szCs w:val="18"/>
                <w:color w:val="auto"/>
              </w:rPr>
            </w:pPr>
          </w:p>
        </w:tc>
      </w:tr>
      <w:tr>
        <w:trPr>
          <w:trHeight w:val="216"/>
        </w:trPr>
        <w:tc>
          <w:tcPr>
            <w:tcW w:w="6960" w:type="dxa"/>
            <w:vAlign w:val="bottom"/>
            <w:gridSpan w:val="3"/>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15 Ha’Tidhar St</w:t>
            </w:r>
          </w:p>
        </w:tc>
        <w:tc>
          <w:tcPr>
            <w:tcW w:w="4280" w:type="dxa"/>
            <w:vAlign w:val="bottom"/>
          </w:tcPr>
          <w:p>
            <w:pPr>
              <w:spacing w:after="0"/>
              <w:rPr>
                <w:sz w:val="18"/>
                <w:szCs w:val="18"/>
                <w:color w:val="auto"/>
              </w:rPr>
            </w:pPr>
          </w:p>
        </w:tc>
      </w:tr>
      <w:tr>
        <w:trPr>
          <w:trHeight w:val="216"/>
        </w:trPr>
        <w:tc>
          <w:tcPr>
            <w:tcW w:w="696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Ra’anana, 4366517 Israel</w:t>
            </w:r>
          </w:p>
        </w:tc>
        <w:tc>
          <w:tcPr>
            <w:tcW w:w="4280" w:type="dxa"/>
            <w:vAlign w:val="bottom"/>
          </w:tcPr>
          <w:p>
            <w:pPr>
              <w:spacing w:after="0"/>
              <w:rPr>
                <w:sz w:val="18"/>
                <w:szCs w:val="18"/>
                <w:color w:val="auto"/>
              </w:rPr>
            </w:pPr>
          </w:p>
        </w:tc>
      </w:tr>
      <w:tr>
        <w:trPr>
          <w:trHeight w:val="216"/>
        </w:trPr>
        <w:tc>
          <w:tcPr>
            <w:tcW w:w="696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Tel: +972-9-957-7706</w:t>
            </w:r>
          </w:p>
        </w:tc>
        <w:tc>
          <w:tcPr>
            <w:tcW w:w="4280" w:type="dxa"/>
            <w:vAlign w:val="bottom"/>
          </w:tcPr>
          <w:p>
            <w:pPr>
              <w:spacing w:after="0"/>
              <w:rPr>
                <w:sz w:val="18"/>
                <w:szCs w:val="18"/>
                <w:color w:val="auto"/>
              </w:rPr>
            </w:pPr>
          </w:p>
        </w:tc>
      </w:tr>
      <w:tr>
        <w:trPr>
          <w:trHeight w:val="238"/>
        </w:trPr>
        <w:tc>
          <w:tcPr>
            <w:tcW w:w="696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Email: marketing@railvision.io</w:t>
            </w:r>
          </w:p>
        </w:tc>
        <w:tc>
          <w:tcPr>
            <w:tcW w:w="4280" w:type="dxa"/>
            <w:vAlign w:val="bottom"/>
          </w:tcPr>
          <w:p>
            <w:pPr>
              <w:spacing w:after="0"/>
              <w:rPr>
                <w:sz w:val="20"/>
                <w:szCs w:val="20"/>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Telephone, E-mail and/or Facsimile number and Address of Company Contact Person)</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each</w:t>
            </w: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 to be registered</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is to be registered</w:t>
            </w:r>
          </w:p>
        </w:tc>
      </w:tr>
      <w:tr>
        <w:trPr>
          <w:trHeight w:val="209"/>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RVSN</w:t>
            </w: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ordinary shares, no par value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RVSNW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outstanding shares of each of the issuer’s classes of capital or common stock as of March 30, 2025: 51,988,188 ordinary shares.</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ectPr>
          <w:pgSz w:w="11900" w:h="16838" w:orient="portrait"/>
          <w:cols w:equalWidth="0" w:num="1">
            <w:col w:w="11240"/>
          </w:cols>
          <w:pgMar w:left="320" w:top="740" w:right="339" w:bottom="0" w:gutter="0" w:footer="0" w:header="0"/>
        </w:sectPr>
      </w:pPr>
    </w:p>
    <w:bookmarkStart w:id="1" w:name="page2"/>
    <w:bookmarkEnd w:id="1"/>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020" w:space="720"/>
            <w:col w:w="3640" w:space="720"/>
            <w:col w:w="3140"/>
          </w:cols>
          <w:pgMar w:left="320" w:top="81" w:right="339" w:bottom="1440" w:gutter="0" w:footer="0" w:header="0"/>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1"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as issued by the International</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702" w:lineRule="exact"/>
        <w:rPr>
          <w:sz w:val="20"/>
          <w:szCs w:val="20"/>
          <w:color w:val="auto"/>
        </w:rPr>
      </w:pPr>
    </w:p>
    <w:p>
      <w:pPr>
        <w:sectPr>
          <w:pgSz w:w="11900" w:h="16838" w:orient="portrait"/>
          <w:cols w:equalWidth="0" w:num="3">
            <w:col w:w="2220" w:space="720"/>
            <w:col w:w="5920" w:space="720"/>
            <w:col w:w="1660"/>
          </w:cols>
          <w:pgMar w:left="320" w:top="81" w:right="339" w:bottom="1440" w:gutter="0" w:footer="0" w:header="0"/>
          <w:type w:val="continuous"/>
        </w:sectPr>
      </w:pPr>
    </w:p>
    <w:p>
      <w:pPr>
        <w:spacing w:after="0" w:line="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type w:val="continuous"/>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60" w:type="dxa"/>
            <w:vAlign w:val="bottom"/>
            <w:gridSpan w:val="12"/>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10600" w:type="dxa"/>
            <w:vAlign w:val="bottom"/>
            <w:gridSpan w:val="62"/>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9"/>
        </w:trPr>
        <w:tc>
          <w:tcPr>
            <w:tcW w:w="10600" w:type="dxa"/>
            <w:vAlign w:val="bottom"/>
            <w:gridSpan w:val="6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INTRODUCTION</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1360" w:type="dxa"/>
            <w:vAlign w:val="bottom"/>
            <w:tcBorders>
              <w:top w:val="single" w:sz="8" w:color="0000EE"/>
            </w:tcBorders>
            <w:gridSpan w:val="4"/>
            <w:shd w:val="clear" w:color="auto" w:fill="CCEEFF"/>
          </w:tcPr>
          <w:p>
            <w:pPr>
              <w:spacing w:after="0" w:line="20" w:lineRule="exact"/>
              <w:rPr>
                <w:sz w:val="1"/>
                <w:szCs w:val="1"/>
                <w:color w:val="auto"/>
              </w:rPr>
            </w:pPr>
          </w:p>
        </w:tc>
        <w:tc>
          <w:tcPr>
            <w:tcW w:w="9880" w:type="dxa"/>
            <w:vAlign w:val="bottom"/>
            <w:tcBorders>
              <w:top w:val="single" w:sz="8" w:color="CCEEFF"/>
            </w:tcBorders>
            <w:gridSpan w:val="59"/>
            <w:shd w:val="clear" w:color="auto" w:fill="CCEEFF"/>
          </w:tcPr>
          <w:p>
            <w:pPr>
              <w:spacing w:after="0" w:line="20" w:lineRule="exact"/>
              <w:rPr>
                <w:sz w:val="1"/>
                <w:szCs w:val="1"/>
                <w:color w:val="auto"/>
              </w:rPr>
            </w:pPr>
          </w:p>
        </w:tc>
      </w:tr>
      <w:tr>
        <w:trPr>
          <w:trHeight w:val="175"/>
        </w:trPr>
        <w:tc>
          <w:tcPr>
            <w:tcW w:w="10600" w:type="dxa"/>
            <w:vAlign w:val="bottom"/>
            <w:gridSpan w:val="62"/>
          </w:tcPr>
          <w:p>
            <w:pPr>
              <w:spacing w:after="0" w:line="176" w:lineRule="exact"/>
              <w:rPr>
                <w:sz w:val="20"/>
                <w:szCs w:val="20"/>
                <w:color w:val="auto"/>
              </w:rPr>
            </w:pPr>
            <w:r>
              <w:rPr>
                <w:rFonts w:ascii="Times New Roman" w:cs="Times New Roman" w:eastAsia="Times New Roman" w:hAnsi="Times New Roman"/>
                <w:sz w:val="18"/>
                <w:szCs w:val="18"/>
                <w:color w:val="0000EE"/>
              </w:rPr>
              <w:t>EMERGING GROWTH COMPANY STATUS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3420" w:type="dxa"/>
            <w:vAlign w:val="bottom"/>
            <w:tcBorders>
              <w:top w:val="single" w:sz="8" w:color="0000EE"/>
            </w:tcBorders>
            <w:gridSpan w:val="43"/>
          </w:tcPr>
          <w:p>
            <w:pPr>
              <w:spacing w:after="0" w:line="20" w:lineRule="exact"/>
              <w:rPr>
                <w:sz w:val="1"/>
                <w:szCs w:val="1"/>
                <w:color w:val="auto"/>
              </w:rPr>
            </w:pPr>
          </w:p>
        </w:tc>
        <w:tc>
          <w:tcPr>
            <w:tcW w:w="7820" w:type="dxa"/>
            <w:vAlign w:val="bottom"/>
            <w:gridSpan w:val="20"/>
          </w:tcPr>
          <w:p>
            <w:pPr>
              <w:spacing w:after="0" w:line="20" w:lineRule="exact"/>
              <w:rPr>
                <w:sz w:val="1"/>
                <w:szCs w:val="1"/>
                <w:color w:val="auto"/>
              </w:rPr>
            </w:pPr>
          </w:p>
        </w:tc>
      </w:tr>
      <w:tr>
        <w:trPr>
          <w:trHeight w:val="196"/>
        </w:trPr>
        <w:tc>
          <w:tcPr>
            <w:tcW w:w="5800" w:type="dxa"/>
            <w:vAlign w:val="bottom"/>
            <w:tcBorders>
              <w:bottom w:val="single" w:sz="8" w:color="0000EE"/>
            </w:tcBorders>
            <w:gridSpan w:val="5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175"/>
        </w:trPr>
        <w:tc>
          <w:tcPr>
            <w:tcW w:w="10600" w:type="dxa"/>
            <w:vAlign w:val="bottom"/>
            <w:gridSpan w:val="62"/>
          </w:tcPr>
          <w:p>
            <w:pPr>
              <w:spacing w:after="0" w:line="17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3360" w:type="dxa"/>
            <w:vAlign w:val="bottom"/>
            <w:tcBorders>
              <w:top w:val="single" w:sz="8" w:color="0000EE"/>
            </w:tcBorders>
            <w:gridSpan w:val="41"/>
          </w:tcPr>
          <w:p>
            <w:pPr>
              <w:spacing w:after="0" w:line="20" w:lineRule="exact"/>
              <w:rPr>
                <w:sz w:val="1"/>
                <w:szCs w:val="1"/>
                <w:color w:val="auto"/>
              </w:rPr>
            </w:pPr>
          </w:p>
        </w:tc>
        <w:tc>
          <w:tcPr>
            <w:tcW w:w="7880" w:type="dxa"/>
            <w:vAlign w:val="bottom"/>
            <w:gridSpan w:val="22"/>
          </w:tcPr>
          <w:p>
            <w:pPr>
              <w:spacing w:after="0" w:line="20" w:lineRule="exact"/>
              <w:rPr>
                <w:sz w:val="1"/>
                <w:szCs w:val="1"/>
                <w:color w:val="auto"/>
              </w:rPr>
            </w:pPr>
          </w:p>
        </w:tc>
      </w:tr>
      <w:tr>
        <w:trPr>
          <w:trHeight w:val="216"/>
        </w:trPr>
        <w:tc>
          <w:tcPr>
            <w:tcW w:w="11240" w:type="dxa"/>
            <w:vAlign w:val="bottom"/>
            <w:gridSpan w:val="63"/>
            <w:shd w:val="clear" w:color="auto" w:fill="CCEEFF"/>
          </w:tcPr>
          <w:p>
            <w:pPr>
              <w:spacing w:after="0"/>
              <w:rPr>
                <w:sz w:val="18"/>
                <w:szCs w:val="18"/>
                <w:color w:val="auto"/>
              </w:rPr>
            </w:pPr>
          </w:p>
        </w:tc>
      </w:tr>
      <w:tr>
        <w:trPr>
          <w:trHeight w:val="176"/>
        </w:trPr>
        <w:tc>
          <w:tcPr>
            <w:tcW w:w="11240" w:type="dxa"/>
            <w:vAlign w:val="bottom"/>
            <w:gridSpan w:val="63"/>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0700" w:type="dxa"/>
            <w:vAlign w:val="bottom"/>
            <w:gridSpan w:val="62"/>
          </w:tcPr>
          <w:p>
            <w:pPr>
              <w:spacing w:after="0" w:line="20" w:lineRule="exact"/>
              <w:rPr>
                <w:sz w:val="1"/>
                <w:szCs w:val="1"/>
                <w:color w:val="auto"/>
              </w:rPr>
            </w:pPr>
          </w:p>
        </w:tc>
      </w:tr>
      <w:tr>
        <w:trPr>
          <w:trHeight w:val="216"/>
        </w:trPr>
        <w:tc>
          <w:tcPr>
            <w:tcW w:w="11240" w:type="dxa"/>
            <w:vAlign w:val="bottom"/>
            <w:gridSpan w:val="63"/>
            <w:shd w:val="clear" w:color="auto" w:fill="CCEEFF"/>
          </w:tcPr>
          <w:p>
            <w:pPr>
              <w:spacing w:after="0"/>
              <w:rPr>
                <w:sz w:val="18"/>
                <w:szCs w:val="18"/>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80" w:type="dxa"/>
            <w:vAlign w:val="bottom"/>
            <w:gridSpan w:val="3"/>
          </w:tcPr>
          <w:p>
            <w:pPr>
              <w:spacing w:after="0" w:line="20" w:lineRule="exact"/>
              <w:rPr>
                <w:sz w:val="1"/>
                <w:szCs w:val="1"/>
                <w:color w:val="auto"/>
              </w:rPr>
            </w:pPr>
          </w:p>
        </w:tc>
        <w:tc>
          <w:tcPr>
            <w:tcW w:w="5600" w:type="dxa"/>
            <w:vAlign w:val="bottom"/>
            <w:tcBorders>
              <w:top w:val="single" w:sz="8" w:color="0000EE"/>
            </w:tcBorders>
            <w:gridSpan w:val="5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20" w:type="dxa"/>
            <w:vAlign w:val="bottom"/>
            <w:tcBorders>
              <w:bottom w:val="single" w:sz="8" w:color="0000EE"/>
            </w:tcBorders>
            <w:gridSpan w:val="4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56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gridSpan w:val="3"/>
          </w:tcPr>
          <w:p>
            <w:pPr>
              <w:spacing w:after="0" w:line="20" w:lineRule="exact"/>
              <w:rPr>
                <w:sz w:val="1"/>
                <w:szCs w:val="1"/>
                <w:color w:val="auto"/>
              </w:rPr>
            </w:pPr>
          </w:p>
        </w:tc>
        <w:tc>
          <w:tcPr>
            <w:tcW w:w="1660" w:type="dxa"/>
            <w:vAlign w:val="bottom"/>
            <w:tcBorders>
              <w:top w:val="single" w:sz="8" w:color="0000EE"/>
            </w:tcBorders>
            <w:gridSpan w:val="25"/>
          </w:tcPr>
          <w:p>
            <w:pPr>
              <w:spacing w:after="0" w:line="20" w:lineRule="exact"/>
              <w:rPr>
                <w:sz w:val="1"/>
                <w:szCs w:val="1"/>
                <w:color w:val="auto"/>
              </w:rPr>
            </w:pPr>
          </w:p>
        </w:tc>
        <w:tc>
          <w:tcPr>
            <w:tcW w:w="8600" w:type="dxa"/>
            <w:vAlign w:val="bottom"/>
            <w:gridSpan w:val="35"/>
          </w:tcPr>
          <w:p>
            <w:pPr>
              <w:spacing w:after="0" w:line="20" w:lineRule="exact"/>
              <w:rPr>
                <w:sz w:val="1"/>
                <w:szCs w:val="1"/>
                <w:color w:val="auto"/>
              </w:rPr>
            </w:pP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780" w:type="dxa"/>
            <w:vAlign w:val="bottom"/>
            <w:tcBorders>
              <w:top w:val="single" w:sz="8" w:color="0000EE"/>
            </w:tcBorders>
            <w:gridSpan w:val="5"/>
            <w:shd w:val="clear" w:color="auto" w:fill="CCEEFF"/>
          </w:tcPr>
          <w:p>
            <w:pPr>
              <w:spacing w:after="0" w:line="20" w:lineRule="exact"/>
              <w:rPr>
                <w:sz w:val="1"/>
                <w:szCs w:val="1"/>
                <w:color w:val="auto"/>
              </w:rPr>
            </w:pPr>
          </w:p>
        </w:tc>
        <w:tc>
          <w:tcPr>
            <w:tcW w:w="9480" w:type="dxa"/>
            <w:vAlign w:val="bottom"/>
            <w:tcBorders>
              <w:top w:val="single" w:sz="8" w:color="CCEEFF"/>
            </w:tcBorders>
            <w:gridSpan w:val="55"/>
            <w:shd w:val="clear" w:color="auto" w:fill="CCEEFF"/>
          </w:tcPr>
          <w:p>
            <w:pPr>
              <w:spacing w:after="0" w:line="20" w:lineRule="exact"/>
              <w:rPr>
                <w:sz w:val="1"/>
                <w:szCs w:val="1"/>
                <w:color w:val="auto"/>
              </w:rPr>
            </w:pP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80" w:type="dxa"/>
            <w:vAlign w:val="bottom"/>
            <w:gridSpan w:val="3"/>
          </w:tcPr>
          <w:p>
            <w:pPr>
              <w:spacing w:after="0" w:line="20" w:lineRule="exact"/>
              <w:rPr>
                <w:sz w:val="1"/>
                <w:szCs w:val="1"/>
                <w:color w:val="auto"/>
              </w:rPr>
            </w:pPr>
          </w:p>
        </w:tc>
        <w:tc>
          <w:tcPr>
            <w:tcW w:w="2300" w:type="dxa"/>
            <w:vAlign w:val="bottom"/>
            <w:tcBorders>
              <w:top w:val="single" w:sz="8" w:color="0000EE"/>
            </w:tcBorders>
            <w:gridSpan w:val="35"/>
          </w:tcPr>
          <w:p>
            <w:pPr>
              <w:spacing w:after="0" w:line="20" w:lineRule="exact"/>
              <w:rPr>
                <w:sz w:val="1"/>
                <w:szCs w:val="1"/>
                <w:color w:val="auto"/>
              </w:rPr>
            </w:pPr>
          </w:p>
        </w:tc>
        <w:tc>
          <w:tcPr>
            <w:tcW w:w="7960" w:type="dxa"/>
            <w:vAlign w:val="bottom"/>
            <w:gridSpan w:val="25"/>
          </w:tcPr>
          <w:p>
            <w:pPr>
              <w:spacing w:after="0" w:line="20" w:lineRule="exact"/>
              <w:rPr>
                <w:sz w:val="1"/>
                <w:szCs w:val="1"/>
                <w:color w:val="auto"/>
              </w:rPr>
            </w:pPr>
          </w:p>
        </w:tc>
      </w:tr>
      <w:tr>
        <w:trPr>
          <w:trHeight w:val="19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Reasons for the Offer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9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3060" w:type="dxa"/>
            <w:vAlign w:val="bottom"/>
            <w:tcBorders>
              <w:top w:val="single" w:sz="8" w:color="0000EE"/>
            </w:tcBorders>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56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80" w:type="dxa"/>
            <w:vAlign w:val="bottom"/>
            <w:gridSpan w:val="3"/>
          </w:tcPr>
          <w:p>
            <w:pPr>
              <w:spacing w:after="0" w:line="20" w:lineRule="exact"/>
              <w:rPr>
                <w:sz w:val="1"/>
                <w:szCs w:val="1"/>
                <w:color w:val="auto"/>
              </w:rPr>
            </w:pPr>
          </w:p>
        </w:tc>
        <w:tc>
          <w:tcPr>
            <w:tcW w:w="900" w:type="dxa"/>
            <w:vAlign w:val="bottom"/>
            <w:tcBorders>
              <w:top w:val="single" w:sz="8" w:color="0000EE"/>
            </w:tcBorders>
            <w:gridSpan w:val="7"/>
          </w:tcPr>
          <w:p>
            <w:pPr>
              <w:spacing w:after="0" w:line="20" w:lineRule="exact"/>
              <w:rPr>
                <w:sz w:val="1"/>
                <w:szCs w:val="1"/>
                <w:color w:val="auto"/>
              </w:rPr>
            </w:pPr>
          </w:p>
        </w:tc>
        <w:tc>
          <w:tcPr>
            <w:tcW w:w="9360" w:type="dxa"/>
            <w:vAlign w:val="bottom"/>
            <w:gridSpan w:val="53"/>
          </w:tcPr>
          <w:p>
            <w:pPr>
              <w:spacing w:after="0" w:line="20" w:lineRule="exact"/>
              <w:rPr>
                <w:sz w:val="1"/>
                <w:szCs w:val="1"/>
                <w:color w:val="auto"/>
              </w:rPr>
            </w:pP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2860" w:type="dxa"/>
            <w:vAlign w:val="bottom"/>
            <w:tcBorders>
              <w:top w:val="single" w:sz="8" w:color="0000EE"/>
            </w:tcBorders>
            <w:gridSpan w:val="44"/>
            <w:shd w:val="clear" w:color="auto" w:fill="CCEEFF"/>
          </w:tcPr>
          <w:p>
            <w:pPr>
              <w:spacing w:after="0" w:line="20" w:lineRule="exact"/>
              <w:rPr>
                <w:sz w:val="1"/>
                <w:szCs w:val="1"/>
                <w:color w:val="auto"/>
              </w:rPr>
            </w:pPr>
          </w:p>
        </w:tc>
        <w:tc>
          <w:tcPr>
            <w:tcW w:w="7400" w:type="dxa"/>
            <w:vAlign w:val="bottom"/>
            <w:tcBorders>
              <w:top w:val="single" w:sz="8" w:color="CCEEFF"/>
            </w:tcBorders>
            <w:gridSpan w:val="16"/>
            <w:shd w:val="clear" w:color="auto" w:fill="CCEEFF"/>
          </w:tcPr>
          <w:p>
            <w:pPr>
              <w:spacing w:after="0" w:line="20" w:lineRule="exact"/>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History and Development of the Company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980" w:type="dxa"/>
            <w:vAlign w:val="bottom"/>
            <w:gridSpan w:val="3"/>
          </w:tcPr>
          <w:p>
            <w:pPr>
              <w:spacing w:after="0" w:line="20" w:lineRule="exact"/>
              <w:rPr>
                <w:sz w:val="1"/>
                <w:szCs w:val="1"/>
                <w:color w:val="auto"/>
              </w:rPr>
            </w:pPr>
          </w:p>
        </w:tc>
        <w:tc>
          <w:tcPr>
            <w:tcW w:w="3060" w:type="dxa"/>
            <w:vAlign w:val="bottom"/>
            <w:tcBorders>
              <w:top w:val="single" w:sz="8" w:color="0000EE"/>
            </w:tcBorders>
            <w:gridSpan w:val="45"/>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14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 Overview</w:t>
            </w:r>
          </w:p>
        </w:tc>
        <w:tc>
          <w:tcPr>
            <w:tcW w:w="8220" w:type="dxa"/>
            <w:vAlign w:val="bottom"/>
            <w:tcBorders>
              <w:bottom w:val="single" w:sz="8" w:color="CCEEFF"/>
            </w:tcBorders>
            <w:gridSpan w:val="4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Organizational Structure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980" w:type="dxa"/>
            <w:vAlign w:val="bottom"/>
            <w:gridSpan w:val="3"/>
          </w:tcPr>
          <w:p>
            <w:pPr>
              <w:spacing w:after="0" w:line="20" w:lineRule="exact"/>
              <w:rPr>
                <w:sz w:val="1"/>
                <w:szCs w:val="1"/>
                <w:color w:val="auto"/>
              </w:rPr>
            </w:pPr>
          </w:p>
        </w:tc>
        <w:tc>
          <w:tcPr>
            <w:tcW w:w="1780" w:type="dxa"/>
            <w:vAlign w:val="bottom"/>
            <w:tcBorders>
              <w:top w:val="single" w:sz="8" w:color="0000EE"/>
            </w:tcBorders>
            <w:gridSpan w:val="27"/>
          </w:tcPr>
          <w:p>
            <w:pPr>
              <w:spacing w:after="0" w:line="20" w:lineRule="exact"/>
              <w:rPr>
                <w:sz w:val="1"/>
                <w:szCs w:val="1"/>
                <w:color w:val="auto"/>
              </w:rPr>
            </w:pPr>
          </w:p>
        </w:tc>
        <w:tc>
          <w:tcPr>
            <w:tcW w:w="8480" w:type="dxa"/>
            <w:vAlign w:val="bottom"/>
            <w:gridSpan w:val="33"/>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228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Property, Plants and Equipment</w:t>
            </w:r>
          </w:p>
        </w:tc>
        <w:tc>
          <w:tcPr>
            <w:tcW w:w="7340" w:type="dxa"/>
            <w:vAlign w:val="bottom"/>
            <w:tcBorders>
              <w:bottom w:val="single" w:sz="8" w:color="CCEEFF"/>
            </w:tcBorders>
            <w:gridSpan w:val="2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980" w:type="dxa"/>
            <w:vAlign w:val="bottom"/>
            <w:gridSpan w:val="3"/>
          </w:tcPr>
          <w:p>
            <w:pPr>
              <w:spacing w:after="0" w:line="20" w:lineRule="exact"/>
              <w:rPr>
                <w:sz w:val="1"/>
                <w:szCs w:val="1"/>
                <w:color w:val="auto"/>
              </w:rPr>
            </w:pPr>
          </w:p>
        </w:tc>
        <w:tc>
          <w:tcPr>
            <w:tcW w:w="2820" w:type="dxa"/>
            <w:vAlign w:val="bottom"/>
            <w:tcBorders>
              <w:top w:val="single" w:sz="8" w:color="0000EE"/>
            </w:tcBorders>
            <w:gridSpan w:val="43"/>
          </w:tcPr>
          <w:p>
            <w:pPr>
              <w:spacing w:after="0" w:line="20" w:lineRule="exact"/>
              <w:rPr>
                <w:sz w:val="1"/>
                <w:szCs w:val="1"/>
                <w:color w:val="auto"/>
              </w:rPr>
            </w:pPr>
          </w:p>
        </w:tc>
        <w:tc>
          <w:tcPr>
            <w:tcW w:w="7440" w:type="dxa"/>
            <w:vAlign w:val="bottom"/>
            <w:gridSpan w:val="17"/>
          </w:tcPr>
          <w:p>
            <w:pPr>
              <w:spacing w:after="0" w:line="20" w:lineRule="exact"/>
              <w:rPr>
                <w:sz w:val="1"/>
                <w:szCs w:val="1"/>
                <w:color w:val="auto"/>
              </w:rPr>
            </w:pPr>
          </w:p>
        </w:tc>
      </w:tr>
      <w:tr>
        <w:trPr>
          <w:trHeight w:val="19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6"/>
        </w:trPr>
        <w:tc>
          <w:tcPr>
            <w:tcW w:w="9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4660" w:type="dxa"/>
            <w:vAlign w:val="bottom"/>
            <w:tcBorders>
              <w:top w:val="single" w:sz="8" w:color="0000EE"/>
            </w:tcBorders>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Operating Results</w:t>
            </w:r>
          </w:p>
        </w:tc>
        <w:tc>
          <w:tcPr>
            <w:tcW w:w="496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980" w:type="dxa"/>
            <w:vAlign w:val="bottom"/>
            <w:gridSpan w:val="3"/>
          </w:tcPr>
          <w:p>
            <w:pPr>
              <w:spacing w:after="0" w:line="20" w:lineRule="exact"/>
              <w:rPr>
                <w:sz w:val="1"/>
                <w:szCs w:val="1"/>
                <w:color w:val="auto"/>
              </w:rPr>
            </w:pPr>
          </w:p>
        </w:tc>
        <w:tc>
          <w:tcPr>
            <w:tcW w:w="1300" w:type="dxa"/>
            <w:vAlign w:val="bottom"/>
            <w:tcBorders>
              <w:top w:val="single" w:sz="8" w:color="0000EE"/>
            </w:tcBorders>
            <w:gridSpan w:val="14"/>
          </w:tcPr>
          <w:p>
            <w:pPr>
              <w:spacing w:after="0" w:line="20" w:lineRule="exact"/>
              <w:rPr>
                <w:sz w:val="1"/>
                <w:szCs w:val="1"/>
                <w:color w:val="auto"/>
              </w:rPr>
            </w:pPr>
          </w:p>
        </w:tc>
        <w:tc>
          <w:tcPr>
            <w:tcW w:w="8960" w:type="dxa"/>
            <w:vAlign w:val="bottom"/>
            <w:gridSpan w:val="46"/>
          </w:tcPr>
          <w:p>
            <w:pPr>
              <w:spacing w:after="0" w:line="20" w:lineRule="exact"/>
              <w:rPr>
                <w:sz w:val="1"/>
                <w:szCs w:val="1"/>
                <w:color w:val="auto"/>
              </w:rPr>
            </w:pPr>
          </w:p>
        </w:tc>
      </w:tr>
      <w:tr>
        <w:trPr>
          <w:trHeight w:val="175"/>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2320" w:type="dxa"/>
            <w:vAlign w:val="bottom"/>
            <w:tcBorders>
              <w:top w:val="single" w:sz="8" w:color="0000EE"/>
            </w:tcBorders>
            <w:gridSpan w:val="36"/>
            <w:shd w:val="clear" w:color="auto" w:fill="CCEEFF"/>
          </w:tcPr>
          <w:p>
            <w:pPr>
              <w:spacing w:after="0" w:line="20" w:lineRule="exact"/>
              <w:rPr>
                <w:sz w:val="1"/>
                <w:szCs w:val="1"/>
                <w:color w:val="auto"/>
              </w:rPr>
            </w:pPr>
          </w:p>
        </w:tc>
        <w:tc>
          <w:tcPr>
            <w:tcW w:w="7940" w:type="dxa"/>
            <w:vAlign w:val="bottom"/>
            <w:tcBorders>
              <w:top w:val="single" w:sz="8" w:color="CCEEFF"/>
            </w:tcBorders>
            <w:gridSpan w:val="24"/>
            <w:shd w:val="clear" w:color="auto" w:fill="CCEEFF"/>
          </w:tcPr>
          <w:p>
            <w:pPr>
              <w:spacing w:after="0" w:line="20" w:lineRule="exact"/>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Research and Development, Patents and Licenses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980" w:type="dxa"/>
            <w:vAlign w:val="bottom"/>
            <w:gridSpan w:val="3"/>
          </w:tcPr>
          <w:p>
            <w:pPr>
              <w:spacing w:after="0" w:line="20" w:lineRule="exact"/>
              <w:rPr>
                <w:sz w:val="1"/>
                <w:szCs w:val="1"/>
                <w:color w:val="auto"/>
              </w:rPr>
            </w:pPr>
          </w:p>
        </w:tc>
        <w:tc>
          <w:tcPr>
            <w:tcW w:w="3560" w:type="dxa"/>
            <w:vAlign w:val="bottom"/>
            <w:tcBorders>
              <w:top w:val="single" w:sz="8" w:color="0000EE"/>
            </w:tcBorders>
            <w:gridSpan w:val="47"/>
          </w:tcPr>
          <w:p>
            <w:pPr>
              <w:spacing w:after="0" w:line="20" w:lineRule="exact"/>
              <w:rPr>
                <w:sz w:val="1"/>
                <w:szCs w:val="1"/>
                <w:color w:val="auto"/>
              </w:rPr>
            </w:pPr>
          </w:p>
        </w:tc>
        <w:tc>
          <w:tcPr>
            <w:tcW w:w="6700" w:type="dxa"/>
            <w:vAlign w:val="bottom"/>
            <w:gridSpan w:val="13"/>
          </w:tcPr>
          <w:p>
            <w:pPr>
              <w:spacing w:after="0" w:line="20" w:lineRule="exact"/>
              <w:rPr>
                <w:sz w:val="1"/>
                <w:szCs w:val="1"/>
                <w:color w:val="auto"/>
              </w:rPr>
            </w:pPr>
          </w:p>
        </w:tc>
      </w:tr>
      <w:tr>
        <w:trPr>
          <w:trHeight w:val="175"/>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Trend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1320" w:type="dxa"/>
            <w:vAlign w:val="bottom"/>
            <w:tcBorders>
              <w:top w:val="single" w:sz="8" w:color="0000EE"/>
            </w:tcBorders>
            <w:gridSpan w:val="15"/>
            <w:shd w:val="clear" w:color="auto" w:fill="CCEEFF"/>
          </w:tcPr>
          <w:p>
            <w:pPr>
              <w:spacing w:after="0" w:line="20" w:lineRule="exact"/>
              <w:rPr>
                <w:sz w:val="1"/>
                <w:szCs w:val="1"/>
                <w:color w:val="auto"/>
              </w:rPr>
            </w:pPr>
          </w:p>
        </w:tc>
        <w:tc>
          <w:tcPr>
            <w:tcW w:w="8940" w:type="dxa"/>
            <w:vAlign w:val="bottom"/>
            <w:tcBorders>
              <w:top w:val="single" w:sz="8" w:color="CCEEFF"/>
            </w:tcBorders>
            <w:gridSpan w:val="45"/>
            <w:shd w:val="clear" w:color="auto" w:fill="CCEEFF"/>
          </w:tcPr>
          <w:p>
            <w:pPr>
              <w:spacing w:after="0" w:line="20" w:lineRule="exact"/>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Critical Accounting Estimates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980" w:type="dxa"/>
            <w:vAlign w:val="bottom"/>
            <w:gridSpan w:val="3"/>
          </w:tcPr>
          <w:p>
            <w:pPr>
              <w:spacing w:after="0" w:line="20" w:lineRule="exact"/>
              <w:rPr>
                <w:sz w:val="1"/>
                <w:szCs w:val="1"/>
                <w:color w:val="auto"/>
              </w:rPr>
            </w:pPr>
          </w:p>
        </w:tc>
        <w:tc>
          <w:tcPr>
            <w:tcW w:w="2160" w:type="dxa"/>
            <w:vAlign w:val="bottom"/>
            <w:tcBorders>
              <w:top w:val="single" w:sz="8" w:color="0000EE"/>
            </w:tcBorders>
            <w:gridSpan w:val="32"/>
          </w:tcPr>
          <w:p>
            <w:pPr>
              <w:spacing w:after="0" w:line="20" w:lineRule="exact"/>
              <w:rPr>
                <w:sz w:val="1"/>
                <w:szCs w:val="1"/>
                <w:color w:val="auto"/>
              </w:rPr>
            </w:pPr>
          </w:p>
        </w:tc>
        <w:tc>
          <w:tcPr>
            <w:tcW w:w="8100" w:type="dxa"/>
            <w:vAlign w:val="bottom"/>
            <w:gridSpan w:val="28"/>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4620" w:type="dxa"/>
            <w:vAlign w:val="bottom"/>
            <w:tcBorders>
              <w:bottom w:val="single" w:sz="8" w:color="0000EE"/>
            </w:tcBorders>
            <w:gridSpan w:val="4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50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980" w:type="dxa"/>
            <w:vAlign w:val="bottom"/>
            <w:gridSpan w:val="3"/>
          </w:tcPr>
          <w:p>
            <w:pPr>
              <w:spacing w:after="0" w:line="20" w:lineRule="exact"/>
              <w:rPr>
                <w:sz w:val="1"/>
                <w:szCs w:val="1"/>
                <w:color w:val="auto"/>
              </w:rPr>
            </w:pPr>
          </w:p>
        </w:tc>
        <w:tc>
          <w:tcPr>
            <w:tcW w:w="2480" w:type="dxa"/>
            <w:vAlign w:val="bottom"/>
            <w:tcBorders>
              <w:top w:val="single" w:sz="8" w:color="0000EE"/>
            </w:tcBorders>
            <w:gridSpan w:val="41"/>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1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w:t>
            </w:r>
          </w:p>
        </w:tc>
        <w:tc>
          <w:tcPr>
            <w:tcW w:w="8580" w:type="dxa"/>
            <w:vAlign w:val="bottom"/>
            <w:tcBorders>
              <w:bottom w:val="single" w:sz="8" w:color="CCEEFF"/>
            </w:tcBorders>
            <w:gridSpan w:val="5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Board Practices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980" w:type="dxa"/>
            <w:vAlign w:val="bottom"/>
            <w:gridSpan w:val="3"/>
          </w:tcPr>
          <w:p>
            <w:pPr>
              <w:spacing w:after="0" w:line="20" w:lineRule="exact"/>
              <w:rPr>
                <w:sz w:val="1"/>
                <w:szCs w:val="1"/>
                <w:color w:val="auto"/>
              </w:rPr>
            </w:pPr>
          </w:p>
        </w:tc>
        <w:tc>
          <w:tcPr>
            <w:tcW w:w="1140" w:type="dxa"/>
            <w:vAlign w:val="bottom"/>
            <w:tcBorders>
              <w:top w:val="single" w:sz="8" w:color="0000EE"/>
            </w:tcBorders>
            <w:gridSpan w:val="11"/>
          </w:tcPr>
          <w:p>
            <w:pPr>
              <w:spacing w:after="0" w:line="20" w:lineRule="exact"/>
              <w:rPr>
                <w:sz w:val="1"/>
                <w:szCs w:val="1"/>
                <w:color w:val="auto"/>
              </w:rPr>
            </w:pPr>
          </w:p>
        </w:tc>
        <w:tc>
          <w:tcPr>
            <w:tcW w:w="9120" w:type="dxa"/>
            <w:vAlign w:val="bottom"/>
            <w:gridSpan w:val="49"/>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8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Employees</w:t>
            </w:r>
          </w:p>
        </w:tc>
        <w:tc>
          <w:tcPr>
            <w:tcW w:w="8820" w:type="dxa"/>
            <w:vAlign w:val="bottom"/>
            <w:tcBorders>
              <w:bottom w:val="single" w:sz="8" w:color="CCEEFF"/>
            </w:tcBorders>
            <w:gridSpan w:val="5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Share Ownership</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980" w:type="dxa"/>
            <w:vAlign w:val="bottom"/>
            <w:gridSpan w:val="3"/>
          </w:tcPr>
          <w:p>
            <w:pPr>
              <w:spacing w:after="0" w:line="20" w:lineRule="exact"/>
              <w:rPr>
                <w:sz w:val="1"/>
                <w:szCs w:val="1"/>
                <w:color w:val="auto"/>
              </w:rPr>
            </w:pPr>
          </w:p>
        </w:tc>
        <w:tc>
          <w:tcPr>
            <w:tcW w:w="1240" w:type="dxa"/>
            <w:vAlign w:val="bottom"/>
            <w:tcBorders>
              <w:top w:val="single" w:sz="8" w:color="0000EE"/>
            </w:tcBorders>
            <w:gridSpan w:val="13"/>
          </w:tcPr>
          <w:p>
            <w:pPr>
              <w:spacing w:after="0" w:line="20" w:lineRule="exact"/>
              <w:rPr>
                <w:sz w:val="1"/>
                <w:szCs w:val="1"/>
                <w:color w:val="auto"/>
              </w:rPr>
            </w:pPr>
          </w:p>
        </w:tc>
        <w:tc>
          <w:tcPr>
            <w:tcW w:w="9020" w:type="dxa"/>
            <w:vAlign w:val="bottom"/>
            <w:gridSpan w:val="47"/>
          </w:tcPr>
          <w:p>
            <w:pPr>
              <w:spacing w:after="0" w:line="20" w:lineRule="exact"/>
              <w:rPr>
                <w:sz w:val="1"/>
                <w:szCs w:val="1"/>
                <w:color w:val="auto"/>
              </w:rPr>
            </w:pPr>
          </w:p>
        </w:tc>
      </w:tr>
      <w:tr>
        <w:trPr>
          <w:trHeight w:val="196"/>
        </w:trPr>
        <w:tc>
          <w:tcPr>
            <w:tcW w:w="980" w:type="dxa"/>
            <w:vAlign w:val="bottom"/>
            <w:gridSpan w:val="3"/>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rPr>
              <w:t>F</w:t>
            </w:r>
          </w:p>
        </w:tc>
        <w:tc>
          <w:tcPr>
            <w:tcW w:w="9620" w:type="dxa"/>
            <w:vAlign w:val="bottom"/>
            <w:gridSpan w:val="59"/>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0000EE"/>
              </w:rPr>
              <w:t>Disclosure of a registrant’s action to recover erroneously awarded compensation.</w:t>
            </w:r>
          </w:p>
        </w:tc>
        <w:tc>
          <w:tcPr>
            <w:tcW w:w="640" w:type="dxa"/>
            <w:vAlign w:val="bottom"/>
            <w:shd w:val="clear" w:color="auto" w:fill="CCEC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6"/>
        </w:trPr>
        <w:tc>
          <w:tcPr>
            <w:tcW w:w="980" w:type="dxa"/>
            <w:vAlign w:val="bottom"/>
            <w:tcBorders>
              <w:top w:val="single" w:sz="8" w:color="CCECFF"/>
            </w:tcBorders>
            <w:gridSpan w:val="3"/>
          </w:tcPr>
          <w:p>
            <w:pPr>
              <w:spacing w:after="0"/>
              <w:rPr>
                <w:sz w:val="18"/>
                <w:szCs w:val="18"/>
                <w:color w:val="auto"/>
              </w:rPr>
            </w:pPr>
          </w:p>
        </w:tc>
        <w:tc>
          <w:tcPr>
            <w:tcW w:w="5820" w:type="dxa"/>
            <w:vAlign w:val="bottom"/>
            <w:tcBorders>
              <w:top w:val="single" w:sz="8" w:color="0000EE"/>
            </w:tcBorders>
            <w:gridSpan w:val="56"/>
          </w:tcPr>
          <w:p>
            <w:pPr>
              <w:spacing w:after="0"/>
              <w:rPr>
                <w:sz w:val="18"/>
                <w:szCs w:val="18"/>
                <w:color w:val="auto"/>
              </w:rPr>
            </w:pPr>
          </w:p>
        </w:tc>
        <w:tc>
          <w:tcPr>
            <w:tcW w:w="4440" w:type="dxa"/>
            <w:vAlign w:val="bottom"/>
            <w:tcBorders>
              <w:top w:val="single" w:sz="8" w:color="CCECFF"/>
            </w:tcBorders>
            <w:gridSpan w:val="4"/>
          </w:tcPr>
          <w:p>
            <w:pPr>
              <w:spacing w:after="0"/>
              <w:rPr>
                <w:sz w:val="18"/>
                <w:szCs w:val="18"/>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5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42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980" w:type="dxa"/>
            <w:vAlign w:val="bottom"/>
            <w:gridSpan w:val="3"/>
          </w:tcPr>
          <w:p>
            <w:pPr>
              <w:spacing w:after="0" w:line="20" w:lineRule="exact"/>
              <w:rPr>
                <w:sz w:val="1"/>
                <w:szCs w:val="1"/>
                <w:color w:val="auto"/>
              </w:rPr>
            </w:pPr>
          </w:p>
        </w:tc>
        <w:tc>
          <w:tcPr>
            <w:tcW w:w="1420" w:type="dxa"/>
            <w:vAlign w:val="bottom"/>
            <w:tcBorders>
              <w:top w:val="single" w:sz="8" w:color="0000EE"/>
            </w:tcBorders>
            <w:gridSpan w:val="19"/>
          </w:tcPr>
          <w:p>
            <w:pPr>
              <w:spacing w:after="0" w:line="20" w:lineRule="exact"/>
              <w:rPr>
                <w:sz w:val="1"/>
                <w:szCs w:val="1"/>
                <w:color w:val="auto"/>
              </w:rPr>
            </w:pPr>
          </w:p>
        </w:tc>
        <w:tc>
          <w:tcPr>
            <w:tcW w:w="8840" w:type="dxa"/>
            <w:vAlign w:val="bottom"/>
            <w:gridSpan w:val="41"/>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194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768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980" w:type="dxa"/>
            <w:vAlign w:val="bottom"/>
            <w:gridSpan w:val="3"/>
          </w:tcPr>
          <w:p>
            <w:pPr>
              <w:spacing w:after="0" w:line="20" w:lineRule="exact"/>
              <w:rPr>
                <w:sz w:val="1"/>
                <w:szCs w:val="1"/>
                <w:color w:val="auto"/>
              </w:rPr>
            </w:pPr>
          </w:p>
        </w:tc>
        <w:tc>
          <w:tcPr>
            <w:tcW w:w="2340" w:type="dxa"/>
            <w:vAlign w:val="bottom"/>
            <w:tcBorders>
              <w:top w:val="single" w:sz="8" w:color="0000EE"/>
            </w:tcBorders>
            <w:gridSpan w:val="37"/>
          </w:tcPr>
          <w:p>
            <w:pPr>
              <w:spacing w:after="0" w:line="20" w:lineRule="exact"/>
              <w:rPr>
                <w:sz w:val="1"/>
                <w:szCs w:val="1"/>
                <w:color w:val="auto"/>
              </w:rPr>
            </w:pPr>
          </w:p>
        </w:tc>
        <w:tc>
          <w:tcPr>
            <w:tcW w:w="7920" w:type="dxa"/>
            <w:vAlign w:val="bottom"/>
            <w:gridSpan w:val="23"/>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226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736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Statements and Other Financial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980" w:type="dxa"/>
            <w:vAlign w:val="bottom"/>
            <w:gridSpan w:val="3"/>
          </w:tcPr>
          <w:p>
            <w:pPr>
              <w:spacing w:after="0" w:line="20" w:lineRule="exact"/>
              <w:rPr>
                <w:sz w:val="1"/>
                <w:szCs w:val="1"/>
                <w:color w:val="auto"/>
              </w:rPr>
            </w:pPr>
          </w:p>
        </w:tc>
        <w:tc>
          <w:tcPr>
            <w:tcW w:w="3160" w:type="dxa"/>
            <w:vAlign w:val="bottom"/>
            <w:tcBorders>
              <w:top w:val="single" w:sz="8" w:color="0000EE"/>
            </w:tcBorders>
            <w:gridSpan w:val="46"/>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14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Significant Changes</w:t>
            </w:r>
          </w:p>
        </w:tc>
        <w:tc>
          <w:tcPr>
            <w:tcW w:w="8160" w:type="dxa"/>
            <w:vAlign w:val="bottom"/>
            <w:tcBorders>
              <w:bottom w:val="single" w:sz="8" w:color="CCEEFF"/>
            </w:tcBorders>
            <w:gridSpan w:val="3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980" w:type="dxa"/>
            <w:vAlign w:val="bottom"/>
            <w:gridSpan w:val="3"/>
          </w:tcPr>
          <w:p>
            <w:pPr>
              <w:spacing w:after="0" w:line="20" w:lineRule="exact"/>
              <w:rPr>
                <w:sz w:val="1"/>
                <w:szCs w:val="1"/>
                <w:color w:val="auto"/>
              </w:rPr>
            </w:pPr>
          </w:p>
        </w:tc>
        <w:tc>
          <w:tcPr>
            <w:tcW w:w="2140" w:type="dxa"/>
            <w:vAlign w:val="bottom"/>
            <w:tcBorders>
              <w:top w:val="single" w:sz="8" w:color="0000EE"/>
            </w:tcBorders>
            <w:gridSpan w:val="31"/>
          </w:tcPr>
          <w:p>
            <w:pPr>
              <w:spacing w:after="0" w:line="20" w:lineRule="exact"/>
              <w:rPr>
                <w:sz w:val="1"/>
                <w:szCs w:val="1"/>
                <w:color w:val="auto"/>
              </w:rPr>
            </w:pPr>
          </w:p>
        </w:tc>
        <w:tc>
          <w:tcPr>
            <w:tcW w:w="8120" w:type="dxa"/>
            <w:vAlign w:val="bottom"/>
            <w:gridSpan w:val="29"/>
          </w:tcPr>
          <w:p>
            <w:pPr>
              <w:spacing w:after="0" w:line="20" w:lineRule="exact"/>
              <w:rPr>
                <w:sz w:val="1"/>
                <w:szCs w:val="1"/>
                <w:color w:val="auto"/>
              </w:rPr>
            </w:pPr>
          </w:p>
        </w:tc>
      </w:tr>
      <w:tr>
        <w:trPr>
          <w:trHeight w:val="19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and Listing Details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9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180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820" w:type="dxa"/>
            <w:vAlign w:val="bottom"/>
            <w:tcBorders>
              <w:top w:val="single" w:sz="8" w:color="CCEEFF"/>
            </w:tcBorders>
            <w:gridSpan w:val="3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980" w:type="dxa"/>
            <w:vAlign w:val="bottom"/>
            <w:gridSpan w:val="3"/>
          </w:tcPr>
          <w:p>
            <w:pPr>
              <w:spacing w:after="0" w:line="20" w:lineRule="exact"/>
              <w:rPr>
                <w:sz w:val="1"/>
                <w:szCs w:val="1"/>
                <w:color w:val="auto"/>
              </w:rPr>
            </w:pPr>
          </w:p>
        </w:tc>
        <w:tc>
          <w:tcPr>
            <w:tcW w:w="1420" w:type="dxa"/>
            <w:vAlign w:val="bottom"/>
            <w:tcBorders>
              <w:top w:val="single" w:sz="8" w:color="0000EE"/>
            </w:tcBorders>
            <w:gridSpan w:val="19"/>
          </w:tcPr>
          <w:p>
            <w:pPr>
              <w:spacing w:after="0" w:line="20" w:lineRule="exact"/>
              <w:rPr>
                <w:sz w:val="1"/>
                <w:szCs w:val="1"/>
                <w:color w:val="auto"/>
              </w:rPr>
            </w:pPr>
          </w:p>
        </w:tc>
        <w:tc>
          <w:tcPr>
            <w:tcW w:w="8840" w:type="dxa"/>
            <w:vAlign w:val="bottom"/>
            <w:gridSpan w:val="41"/>
          </w:tcPr>
          <w:p>
            <w:pPr>
              <w:spacing w:after="0" w:line="20" w:lineRule="exact"/>
              <w:rPr>
                <w:sz w:val="1"/>
                <w:szCs w:val="1"/>
                <w:color w:val="auto"/>
              </w:rPr>
            </w:pPr>
          </w:p>
        </w:tc>
      </w:tr>
      <w:tr>
        <w:trPr>
          <w:trHeight w:val="175"/>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580" w:type="dxa"/>
            <w:vAlign w:val="bottom"/>
            <w:tcBorders>
              <w:top w:val="single" w:sz="8" w:color="0000EE"/>
            </w:tcBorders>
            <w:gridSpan w:val="2"/>
            <w:shd w:val="clear" w:color="auto" w:fill="CCEEFF"/>
          </w:tcPr>
          <w:p>
            <w:pPr>
              <w:spacing w:after="0" w:line="20" w:lineRule="exact"/>
              <w:rPr>
                <w:sz w:val="1"/>
                <w:szCs w:val="1"/>
                <w:color w:val="auto"/>
              </w:rPr>
            </w:pPr>
          </w:p>
        </w:tc>
        <w:tc>
          <w:tcPr>
            <w:tcW w:w="9680" w:type="dxa"/>
            <w:vAlign w:val="bottom"/>
            <w:tcBorders>
              <w:top w:val="single" w:sz="8" w:color="CCEEFF"/>
            </w:tcBorders>
            <w:gridSpan w:val="58"/>
            <w:shd w:val="clear" w:color="auto" w:fill="CCEEFF"/>
          </w:tcPr>
          <w:p>
            <w:pPr>
              <w:spacing w:after="0" w:line="20" w:lineRule="exact"/>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980" w:type="dxa"/>
            <w:vAlign w:val="bottom"/>
            <w:gridSpan w:val="3"/>
          </w:tcPr>
          <w:p>
            <w:pPr>
              <w:spacing w:after="0" w:line="20" w:lineRule="exact"/>
              <w:rPr>
                <w:sz w:val="1"/>
                <w:szCs w:val="1"/>
                <w:color w:val="auto"/>
              </w:rPr>
            </w:pPr>
          </w:p>
        </w:tc>
        <w:tc>
          <w:tcPr>
            <w:tcW w:w="1500" w:type="dxa"/>
            <w:vAlign w:val="bottom"/>
            <w:tcBorders>
              <w:top w:val="single" w:sz="8" w:color="0000EE"/>
            </w:tcBorders>
            <w:gridSpan w:val="21"/>
          </w:tcPr>
          <w:p>
            <w:pPr>
              <w:spacing w:after="0" w:line="20" w:lineRule="exact"/>
              <w:rPr>
                <w:sz w:val="1"/>
                <w:szCs w:val="1"/>
                <w:color w:val="auto"/>
              </w:rPr>
            </w:pPr>
          </w:p>
        </w:tc>
        <w:tc>
          <w:tcPr>
            <w:tcW w:w="8760" w:type="dxa"/>
            <w:vAlign w:val="bottom"/>
            <w:gridSpan w:val="39"/>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w:t>
            </w: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Dilution</w:t>
            </w:r>
          </w:p>
        </w:tc>
        <w:tc>
          <w:tcPr>
            <w:tcW w:w="9020" w:type="dxa"/>
            <w:vAlign w:val="bottom"/>
            <w:tcBorders>
              <w:bottom w:val="single" w:sz="8" w:color="CCEEFF"/>
            </w:tcBorders>
            <w:gridSpan w:val="5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Expenses of the Issue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980" w:type="dxa"/>
            <w:vAlign w:val="bottom"/>
            <w:gridSpan w:val="3"/>
          </w:tcPr>
          <w:p>
            <w:pPr>
              <w:spacing w:after="0" w:line="20" w:lineRule="exact"/>
              <w:rPr>
                <w:sz w:val="1"/>
                <w:szCs w:val="1"/>
                <w:color w:val="auto"/>
              </w:rPr>
            </w:pPr>
          </w:p>
        </w:tc>
        <w:tc>
          <w:tcPr>
            <w:tcW w:w="1560" w:type="dxa"/>
            <w:vAlign w:val="bottom"/>
            <w:tcBorders>
              <w:top w:val="single" w:sz="8" w:color="0000EE"/>
            </w:tcBorders>
            <w:gridSpan w:val="23"/>
          </w:tcPr>
          <w:p>
            <w:pPr>
              <w:spacing w:after="0" w:line="20" w:lineRule="exact"/>
              <w:rPr>
                <w:sz w:val="1"/>
                <w:szCs w:val="1"/>
                <w:color w:val="auto"/>
              </w:rPr>
            </w:pPr>
          </w:p>
        </w:tc>
        <w:tc>
          <w:tcPr>
            <w:tcW w:w="8700" w:type="dxa"/>
            <w:vAlign w:val="bottom"/>
            <w:gridSpan w:val="37"/>
          </w:tcPr>
          <w:p>
            <w:pPr>
              <w:spacing w:after="0" w:line="20" w:lineRule="exact"/>
              <w:rPr>
                <w:sz w:val="1"/>
                <w:szCs w:val="1"/>
                <w:color w:val="auto"/>
              </w:rPr>
            </w:pPr>
          </w:p>
        </w:tc>
      </w:tr>
      <w:tr>
        <w:trPr>
          <w:trHeight w:val="19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6"/>
        </w:trPr>
        <w:tc>
          <w:tcPr>
            <w:tcW w:w="9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2400" w:type="dxa"/>
            <w:vAlign w:val="bottom"/>
            <w:tcBorders>
              <w:top w:val="single" w:sz="8" w:color="0000EE"/>
            </w:tcBorders>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72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980" w:type="dxa"/>
            <w:vAlign w:val="bottom"/>
            <w:gridSpan w:val="3"/>
          </w:tcPr>
          <w:p>
            <w:pPr>
              <w:spacing w:after="0" w:line="20" w:lineRule="exact"/>
              <w:rPr>
                <w:sz w:val="1"/>
                <w:szCs w:val="1"/>
                <w:color w:val="auto"/>
              </w:rPr>
            </w:pPr>
          </w:p>
        </w:tc>
        <w:tc>
          <w:tcPr>
            <w:tcW w:w="980" w:type="dxa"/>
            <w:vAlign w:val="bottom"/>
            <w:tcBorders>
              <w:top w:val="single" w:sz="8" w:color="0000EE"/>
            </w:tcBorders>
            <w:gridSpan w:val="8"/>
          </w:tcPr>
          <w:p>
            <w:pPr>
              <w:spacing w:after="0" w:line="20" w:lineRule="exact"/>
              <w:rPr>
                <w:sz w:val="1"/>
                <w:szCs w:val="1"/>
                <w:color w:val="auto"/>
              </w:rPr>
            </w:pPr>
          </w:p>
        </w:tc>
        <w:tc>
          <w:tcPr>
            <w:tcW w:w="9280" w:type="dxa"/>
            <w:vAlign w:val="bottom"/>
            <w:gridSpan w:val="52"/>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16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Articles of Association</w:t>
            </w:r>
          </w:p>
        </w:tc>
        <w:tc>
          <w:tcPr>
            <w:tcW w:w="7960" w:type="dxa"/>
            <w:vAlign w:val="bottom"/>
            <w:tcBorders>
              <w:bottom w:val="single" w:sz="8" w:color="CCEEFF"/>
            </w:tcBorders>
            <w:gridSpan w:val="3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Material Contracts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980" w:type="dxa"/>
            <w:vAlign w:val="bottom"/>
            <w:gridSpan w:val="3"/>
          </w:tcPr>
          <w:p>
            <w:pPr>
              <w:spacing w:after="0" w:line="20" w:lineRule="exact"/>
              <w:rPr>
                <w:sz w:val="1"/>
                <w:szCs w:val="1"/>
                <w:color w:val="auto"/>
              </w:rPr>
            </w:pPr>
          </w:p>
        </w:tc>
        <w:tc>
          <w:tcPr>
            <w:tcW w:w="1340" w:type="dxa"/>
            <w:vAlign w:val="bottom"/>
            <w:tcBorders>
              <w:top w:val="single" w:sz="8" w:color="0000EE"/>
            </w:tcBorders>
            <w:gridSpan w:val="16"/>
          </w:tcPr>
          <w:p>
            <w:pPr>
              <w:spacing w:after="0" w:line="20" w:lineRule="exact"/>
              <w:rPr>
                <w:sz w:val="1"/>
                <w:szCs w:val="1"/>
                <w:color w:val="auto"/>
              </w:rPr>
            </w:pPr>
          </w:p>
        </w:tc>
        <w:tc>
          <w:tcPr>
            <w:tcW w:w="8920" w:type="dxa"/>
            <w:vAlign w:val="bottom"/>
            <w:gridSpan w:val="44"/>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13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Controls</w:t>
            </w:r>
          </w:p>
        </w:tc>
        <w:tc>
          <w:tcPr>
            <w:tcW w:w="8240" w:type="dxa"/>
            <w:vAlign w:val="bottom"/>
            <w:tcBorders>
              <w:bottom w:val="single" w:sz="8" w:color="CCEEFF"/>
            </w:tcBorders>
            <w:gridSpan w:val="4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980" w:type="dxa"/>
            <w:vAlign w:val="bottom"/>
            <w:gridSpan w:val="3"/>
          </w:tcPr>
          <w:p>
            <w:pPr>
              <w:spacing w:after="0" w:line="20" w:lineRule="exact"/>
              <w:rPr>
                <w:sz w:val="1"/>
                <w:szCs w:val="1"/>
                <w:color w:val="auto"/>
              </w:rPr>
            </w:pPr>
          </w:p>
        </w:tc>
        <w:tc>
          <w:tcPr>
            <w:tcW w:w="620" w:type="dxa"/>
            <w:vAlign w:val="bottom"/>
            <w:tcBorders>
              <w:top w:val="single" w:sz="8" w:color="0000EE"/>
            </w:tcBorders>
            <w:gridSpan w:val="4"/>
          </w:tcPr>
          <w:p>
            <w:pPr>
              <w:spacing w:after="0" w:line="20" w:lineRule="exact"/>
              <w:rPr>
                <w:sz w:val="1"/>
                <w:szCs w:val="1"/>
                <w:color w:val="auto"/>
              </w:rPr>
            </w:pPr>
          </w:p>
        </w:tc>
        <w:tc>
          <w:tcPr>
            <w:tcW w:w="9640" w:type="dxa"/>
            <w:vAlign w:val="bottom"/>
            <w:gridSpan w:val="56"/>
          </w:tcPr>
          <w:p>
            <w:pPr>
              <w:spacing w:after="0" w:line="20" w:lineRule="exact"/>
              <w:rPr>
                <w:sz w:val="1"/>
                <w:szCs w:val="1"/>
                <w:color w:val="auto"/>
              </w:rPr>
            </w:pPr>
          </w:p>
        </w:tc>
      </w:tr>
      <w:tr>
        <w:trPr>
          <w:trHeight w:val="19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Dividends and Paying Agents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175"/>
        </w:trPr>
        <w:tc>
          <w:tcPr>
            <w:tcW w:w="98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G.</w:t>
            </w:r>
          </w:p>
        </w:tc>
        <w:tc>
          <w:tcPr>
            <w:tcW w:w="214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Statement by Experts</w:t>
            </w:r>
          </w:p>
        </w:tc>
        <w:tc>
          <w:tcPr>
            <w:tcW w:w="7480" w:type="dxa"/>
            <w:vAlign w:val="bottom"/>
            <w:tcBorders>
              <w:top w:val="single" w:sz="8" w:color="CCEEFF"/>
            </w:tcBorders>
            <w:gridSpan w:val="2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980" w:type="dxa"/>
            <w:vAlign w:val="bottom"/>
            <w:gridSpan w:val="3"/>
          </w:tcPr>
          <w:p>
            <w:pPr>
              <w:spacing w:after="0" w:line="20" w:lineRule="exact"/>
              <w:rPr>
                <w:sz w:val="1"/>
                <w:szCs w:val="1"/>
                <w:color w:val="auto"/>
              </w:rPr>
            </w:pPr>
          </w:p>
        </w:tc>
        <w:tc>
          <w:tcPr>
            <w:tcW w:w="1540" w:type="dxa"/>
            <w:vAlign w:val="bottom"/>
            <w:tcBorders>
              <w:top w:val="single" w:sz="8" w:color="0000EE"/>
            </w:tcBorders>
            <w:gridSpan w:val="22"/>
          </w:tcPr>
          <w:p>
            <w:pPr>
              <w:spacing w:after="0" w:line="20" w:lineRule="exact"/>
              <w:rPr>
                <w:sz w:val="1"/>
                <w:szCs w:val="1"/>
                <w:color w:val="auto"/>
              </w:rPr>
            </w:pPr>
          </w:p>
        </w:tc>
        <w:tc>
          <w:tcPr>
            <w:tcW w:w="8720" w:type="dxa"/>
            <w:vAlign w:val="bottom"/>
            <w:gridSpan w:val="38"/>
          </w:tcPr>
          <w:p>
            <w:pPr>
              <w:spacing w:after="0" w:line="20" w:lineRule="exact"/>
              <w:rPr>
                <w:sz w:val="1"/>
                <w:szCs w:val="1"/>
                <w:color w:val="auto"/>
              </w:rPr>
            </w:pP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Documents on Display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1640" w:type="dxa"/>
            <w:vAlign w:val="bottom"/>
            <w:tcBorders>
              <w:top w:val="single" w:sz="8" w:color="0000EE"/>
            </w:tcBorders>
            <w:gridSpan w:val="24"/>
            <w:shd w:val="clear" w:color="auto" w:fill="CCEEFF"/>
          </w:tcPr>
          <w:p>
            <w:pPr>
              <w:spacing w:after="0" w:line="20" w:lineRule="exact"/>
              <w:rPr>
                <w:sz w:val="1"/>
                <w:szCs w:val="1"/>
                <w:color w:val="auto"/>
              </w:rPr>
            </w:pPr>
          </w:p>
        </w:tc>
        <w:tc>
          <w:tcPr>
            <w:tcW w:w="8620" w:type="dxa"/>
            <w:vAlign w:val="bottom"/>
            <w:tcBorders>
              <w:top w:val="single" w:sz="8" w:color="CCEEFF"/>
            </w:tcBorders>
            <w:gridSpan w:val="36"/>
            <w:shd w:val="clear" w:color="auto" w:fill="CCEEFF"/>
          </w:tcPr>
          <w:p>
            <w:pPr>
              <w:spacing w:after="0" w:line="20" w:lineRule="exact"/>
              <w:rPr>
                <w:sz w:val="1"/>
                <w:szCs w:val="1"/>
                <w:color w:val="auto"/>
              </w:rPr>
            </w:pP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Subsidiary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980" w:type="dxa"/>
            <w:vAlign w:val="bottom"/>
            <w:gridSpan w:val="3"/>
          </w:tcPr>
          <w:p>
            <w:pPr>
              <w:spacing w:after="0" w:line="20" w:lineRule="exact"/>
              <w:rPr>
                <w:sz w:val="1"/>
                <w:szCs w:val="1"/>
                <w:color w:val="auto"/>
              </w:rPr>
            </w:pPr>
          </w:p>
        </w:tc>
        <w:tc>
          <w:tcPr>
            <w:tcW w:w="1680" w:type="dxa"/>
            <w:vAlign w:val="bottom"/>
            <w:tcBorders>
              <w:top w:val="single" w:sz="8" w:color="0000EE"/>
            </w:tcBorders>
            <w:gridSpan w:val="26"/>
          </w:tcPr>
          <w:p>
            <w:pPr>
              <w:spacing w:after="0" w:line="20" w:lineRule="exact"/>
              <w:rPr>
                <w:sz w:val="1"/>
                <w:szCs w:val="1"/>
                <w:color w:val="auto"/>
              </w:rPr>
            </w:pPr>
          </w:p>
        </w:tc>
        <w:tc>
          <w:tcPr>
            <w:tcW w:w="8580" w:type="dxa"/>
            <w:vAlign w:val="bottom"/>
            <w:gridSpan w:val="34"/>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6140" w:type="dxa"/>
            <w:vAlign w:val="bottom"/>
            <w:tcBorders>
              <w:bottom w:val="single" w:sz="8" w:color="0000EE"/>
            </w:tcBorders>
            <w:gridSpan w:val="5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980" w:type="dxa"/>
            <w:vAlign w:val="bottom"/>
            <w:gridSpan w:val="3"/>
          </w:tcPr>
          <w:p>
            <w:pPr>
              <w:spacing w:after="0" w:line="20" w:lineRule="exact"/>
              <w:rPr>
                <w:sz w:val="1"/>
                <w:szCs w:val="1"/>
                <w:color w:val="auto"/>
              </w:rPr>
            </w:pPr>
          </w:p>
        </w:tc>
        <w:tc>
          <w:tcPr>
            <w:tcW w:w="5480" w:type="dxa"/>
            <w:vAlign w:val="bottom"/>
            <w:tcBorders>
              <w:top w:val="single" w:sz="8" w:color="0000EE"/>
            </w:tcBorders>
            <w:gridSpan w:val="54"/>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1100" w:type="dxa"/>
            <w:vAlign w:val="bottom"/>
            <w:tcBorders>
              <w:top w:val="single" w:sz="8" w:color="0000EE"/>
            </w:tcBorders>
            <w:gridSpan w:val="10"/>
            <w:shd w:val="clear" w:color="auto" w:fill="CCEEFF"/>
          </w:tcPr>
          <w:p>
            <w:pPr>
              <w:spacing w:after="0" w:line="20" w:lineRule="exact"/>
              <w:rPr>
                <w:sz w:val="1"/>
                <w:szCs w:val="1"/>
                <w:color w:val="auto"/>
              </w:rPr>
            </w:pPr>
          </w:p>
        </w:tc>
        <w:tc>
          <w:tcPr>
            <w:tcW w:w="9160" w:type="dxa"/>
            <w:vAlign w:val="bottom"/>
            <w:tcBorders>
              <w:top w:val="single" w:sz="8" w:color="CCEEFF"/>
            </w:tcBorders>
            <w:gridSpan w:val="50"/>
            <w:shd w:val="clear" w:color="auto" w:fill="CCEEFF"/>
          </w:tcPr>
          <w:p>
            <w:pPr>
              <w:spacing w:after="0" w:line="20" w:lineRule="exact"/>
              <w:rPr>
                <w:sz w:val="1"/>
                <w:szCs w:val="1"/>
                <w:color w:val="auto"/>
              </w:rPr>
            </w:pP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Warrants and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980" w:type="dxa"/>
            <w:vAlign w:val="bottom"/>
            <w:gridSpan w:val="3"/>
          </w:tcPr>
          <w:p>
            <w:pPr>
              <w:spacing w:after="0" w:line="20" w:lineRule="exact"/>
              <w:rPr>
                <w:sz w:val="1"/>
                <w:szCs w:val="1"/>
                <w:color w:val="auto"/>
              </w:rPr>
            </w:pPr>
          </w:p>
        </w:tc>
        <w:tc>
          <w:tcPr>
            <w:tcW w:w="1400" w:type="dxa"/>
            <w:vAlign w:val="bottom"/>
            <w:tcBorders>
              <w:top w:val="single" w:sz="8" w:color="0000EE"/>
            </w:tcBorders>
            <w:gridSpan w:val="18"/>
          </w:tcPr>
          <w:p>
            <w:pPr>
              <w:spacing w:after="0" w:line="20" w:lineRule="exact"/>
              <w:rPr>
                <w:sz w:val="1"/>
                <w:szCs w:val="1"/>
                <w:color w:val="auto"/>
              </w:rPr>
            </w:pPr>
          </w:p>
        </w:tc>
        <w:tc>
          <w:tcPr>
            <w:tcW w:w="8860" w:type="dxa"/>
            <w:vAlign w:val="bottom"/>
            <w:gridSpan w:val="42"/>
          </w:tcPr>
          <w:p>
            <w:pPr>
              <w:spacing w:after="0" w:line="20" w:lineRule="exact"/>
              <w:rPr>
                <w:sz w:val="1"/>
                <w:szCs w:val="1"/>
                <w:color w:val="auto"/>
              </w:rPr>
            </w:pP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980" w:type="dxa"/>
            <w:vAlign w:val="bottom"/>
            <w:tcBorders>
              <w:top w:val="single" w:sz="8" w:color="CCEEFF"/>
            </w:tcBorders>
            <w:gridSpan w:val="3"/>
            <w:shd w:val="clear" w:color="auto" w:fill="CCEEFF"/>
          </w:tcPr>
          <w:p>
            <w:pPr>
              <w:spacing w:after="0" w:line="20" w:lineRule="exact"/>
              <w:rPr>
                <w:sz w:val="1"/>
                <w:szCs w:val="1"/>
                <w:color w:val="auto"/>
              </w:rPr>
            </w:pPr>
          </w:p>
        </w:tc>
        <w:tc>
          <w:tcPr>
            <w:tcW w:w="1160" w:type="dxa"/>
            <w:vAlign w:val="bottom"/>
            <w:tcBorders>
              <w:top w:val="single" w:sz="8" w:color="0000EE"/>
            </w:tcBorders>
            <w:gridSpan w:val="12"/>
            <w:shd w:val="clear" w:color="auto" w:fill="CCEEFF"/>
          </w:tcPr>
          <w:p>
            <w:pPr>
              <w:spacing w:after="0" w:line="20" w:lineRule="exact"/>
              <w:rPr>
                <w:sz w:val="1"/>
                <w:szCs w:val="1"/>
                <w:color w:val="auto"/>
              </w:rPr>
            </w:pPr>
          </w:p>
        </w:tc>
        <w:tc>
          <w:tcPr>
            <w:tcW w:w="9100" w:type="dxa"/>
            <w:vAlign w:val="bottom"/>
            <w:tcBorders>
              <w:top w:val="single" w:sz="8" w:color="CCEEFF"/>
            </w:tcBorders>
            <w:gridSpan w:val="48"/>
            <w:shd w:val="clear" w:color="auto" w:fill="CCEEFF"/>
          </w:tcPr>
          <w:p>
            <w:pPr>
              <w:spacing w:after="0" w:line="20" w:lineRule="exact"/>
              <w:rPr>
                <w:sz w:val="1"/>
                <w:szCs w:val="1"/>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American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980" w:type="dxa"/>
            <w:vAlign w:val="bottom"/>
            <w:gridSpan w:val="3"/>
          </w:tcPr>
          <w:p>
            <w:pPr>
              <w:spacing w:after="0" w:line="20" w:lineRule="exact"/>
              <w:rPr>
                <w:sz w:val="1"/>
                <w:szCs w:val="1"/>
                <w:color w:val="auto"/>
              </w:rPr>
            </w:pPr>
          </w:p>
        </w:tc>
        <w:tc>
          <w:tcPr>
            <w:tcW w:w="2060" w:type="dxa"/>
            <w:vAlign w:val="bottom"/>
            <w:tcBorders>
              <w:top w:val="single" w:sz="8" w:color="0000EE"/>
            </w:tcBorders>
            <w:gridSpan w:val="30"/>
          </w:tcPr>
          <w:p>
            <w:pPr>
              <w:spacing w:after="0" w:line="20" w:lineRule="exact"/>
              <w:rPr>
                <w:sz w:val="1"/>
                <w:szCs w:val="1"/>
                <w:color w:val="auto"/>
              </w:rPr>
            </w:pPr>
          </w:p>
        </w:tc>
        <w:tc>
          <w:tcPr>
            <w:tcW w:w="8200" w:type="dxa"/>
            <w:vAlign w:val="bottom"/>
            <w:gridSpan w:val="30"/>
          </w:tcPr>
          <w:p>
            <w:pPr>
              <w:spacing w:after="0" w:line="20" w:lineRule="exact"/>
              <w:rPr>
                <w:sz w:val="1"/>
                <w:szCs w:val="1"/>
                <w:color w:val="auto"/>
              </w:rPr>
            </w:pPr>
          </w:p>
        </w:tc>
      </w:tr>
      <w:tr>
        <w:trPr>
          <w:trHeight w:val="216"/>
        </w:trPr>
        <w:tc>
          <w:tcPr>
            <w:tcW w:w="11240" w:type="dxa"/>
            <w:vAlign w:val="bottom"/>
            <w:gridSpan w:val="63"/>
            <w:shd w:val="clear" w:color="auto" w:fill="CCEEFF"/>
          </w:tcPr>
          <w:p>
            <w:pPr>
              <w:spacing w:after="0"/>
              <w:rPr>
                <w:sz w:val="18"/>
                <w:szCs w:val="18"/>
                <w:color w:val="auto"/>
              </w:rPr>
            </w:pPr>
          </w:p>
        </w:tc>
      </w:tr>
      <w:tr>
        <w:trPr>
          <w:trHeight w:val="175"/>
        </w:trPr>
        <w:tc>
          <w:tcPr>
            <w:tcW w:w="11240" w:type="dxa"/>
            <w:vAlign w:val="bottom"/>
            <w:gridSpan w:val="63"/>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r>
      <w:tr>
        <w:trPr>
          <w:trHeight w:val="20"/>
        </w:trPr>
        <w:tc>
          <w:tcPr>
            <w:tcW w:w="600" w:type="dxa"/>
            <w:vAlign w:val="bottom"/>
            <w:tcBorders>
              <w:top w:val="single" w:sz="8" w:color="0000EE"/>
            </w:tcBorders>
            <w:gridSpan w:val="2"/>
          </w:tcPr>
          <w:p>
            <w:pPr>
              <w:spacing w:after="0" w:line="20" w:lineRule="exact"/>
              <w:rPr>
                <w:sz w:val="1"/>
                <w:szCs w:val="1"/>
                <w:color w:val="auto"/>
              </w:rPr>
            </w:pPr>
          </w:p>
        </w:tc>
        <w:tc>
          <w:tcPr>
            <w:tcW w:w="10640" w:type="dxa"/>
            <w:vAlign w:val="bottom"/>
            <w:gridSpan w:val="61"/>
          </w:tcPr>
          <w:p>
            <w:pPr>
              <w:spacing w:after="0" w:line="20" w:lineRule="exact"/>
              <w:rPr>
                <w:sz w:val="1"/>
                <w:szCs w:val="1"/>
                <w:color w:val="auto"/>
              </w:rPr>
            </w:pPr>
          </w:p>
        </w:tc>
      </w:tr>
      <w:tr>
        <w:trPr>
          <w:trHeight w:val="216"/>
        </w:trPr>
        <w:tc>
          <w:tcPr>
            <w:tcW w:w="11240" w:type="dxa"/>
            <w:vAlign w:val="bottom"/>
            <w:gridSpan w:val="63"/>
            <w:shd w:val="clear" w:color="auto" w:fill="CCEEFF"/>
          </w:tcPr>
          <w:p>
            <w:pPr>
              <w:spacing w:after="0"/>
              <w:rPr>
                <w:sz w:val="18"/>
                <w:szCs w:val="18"/>
                <w:color w:val="auto"/>
              </w:rPr>
            </w:pP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980" w:type="dxa"/>
            <w:vAlign w:val="bottom"/>
            <w:gridSpan w:val="3"/>
          </w:tcPr>
          <w:p>
            <w:pPr>
              <w:spacing w:after="0" w:line="20" w:lineRule="exact"/>
              <w:rPr>
                <w:sz w:val="1"/>
                <w:szCs w:val="1"/>
                <w:color w:val="auto"/>
              </w:rPr>
            </w:pPr>
          </w:p>
        </w:tc>
        <w:tc>
          <w:tcPr>
            <w:tcW w:w="5020" w:type="dxa"/>
            <w:vAlign w:val="bottom"/>
            <w:tcBorders>
              <w:top w:val="single" w:sz="8" w:color="0000EE"/>
            </w:tcBorders>
            <w:gridSpan w:val="5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r>
      <w:tr>
        <w:trPr>
          <w:trHeight w:val="196"/>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7860" w:type="dxa"/>
            <w:vAlign w:val="bottom"/>
            <w:tcBorders>
              <w:bottom w:val="single" w:sz="8" w:color="0000EE"/>
            </w:tcBorders>
            <w:gridSpan w:val="5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17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5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980" w:type="dxa"/>
            <w:vAlign w:val="bottom"/>
            <w:gridSpan w:val="3"/>
          </w:tcPr>
          <w:p>
            <w:pPr>
              <w:spacing w:after="0" w:line="20" w:lineRule="exact"/>
              <w:rPr>
                <w:sz w:val="1"/>
                <w:szCs w:val="1"/>
                <w:color w:val="auto"/>
              </w:rPr>
            </w:pPr>
          </w:p>
        </w:tc>
        <w:tc>
          <w:tcPr>
            <w:tcW w:w="2600" w:type="dxa"/>
            <w:vAlign w:val="bottom"/>
            <w:tcBorders>
              <w:top w:val="single" w:sz="8" w:color="0000EE"/>
            </w:tcBorders>
            <w:gridSpan w:val="42"/>
          </w:tcPr>
          <w:p>
            <w:pPr>
              <w:spacing w:after="0" w:line="20" w:lineRule="exact"/>
              <w:rPr>
                <w:sz w:val="1"/>
                <w:szCs w:val="1"/>
                <w:color w:val="auto"/>
              </w:rPr>
            </w:pPr>
          </w:p>
        </w:tc>
        <w:tc>
          <w:tcPr>
            <w:tcW w:w="7660" w:type="dxa"/>
            <w:vAlign w:val="bottom"/>
            <w:gridSpan w:val="18"/>
          </w:tcPr>
          <w:p>
            <w:pPr>
              <w:spacing w:after="0" w:line="20" w:lineRule="exact"/>
              <w:rPr>
                <w:sz w:val="1"/>
                <w:szCs w:val="1"/>
                <w:color w:val="auto"/>
              </w:rPr>
            </w:pPr>
          </w:p>
        </w:tc>
      </w:tr>
      <w:tr>
        <w:trPr>
          <w:trHeight w:val="192"/>
        </w:trPr>
        <w:tc>
          <w:tcPr>
            <w:tcW w:w="980" w:type="dxa"/>
            <w:vAlign w:val="bottom"/>
            <w:tcBorders>
              <w:bottom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[RESERVED]</w:t>
            </w:r>
          </w:p>
        </w:tc>
        <w:tc>
          <w:tcPr>
            <w:tcW w:w="8580" w:type="dxa"/>
            <w:vAlign w:val="bottom"/>
            <w:tcBorders>
              <w:bottom w:val="single" w:sz="8" w:color="CCEEFF"/>
            </w:tcBorders>
            <w:gridSpan w:val="50"/>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bl>
    <w:p>
      <w:pPr>
        <w:sectPr>
          <w:pgSz w:w="11900" w:h="16900" w:orient="portrait"/>
          <w:cols w:equalWidth="0" w:num="1">
            <w:col w:w="11240"/>
          </w:cols>
          <w:pgMar w:left="320" w:top="684"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16A.</w:t>
            </w: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310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14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CODE OF ETHICS</w:t>
            </w:r>
          </w:p>
        </w:tc>
        <w:tc>
          <w:tcPr>
            <w:tcW w:w="5720" w:type="dxa"/>
            <w:vAlign w:val="bottom"/>
            <w:tcBorders>
              <w:bottom w:val="single" w:sz="8" w:color="CCEEFF"/>
            </w:tcBorders>
            <w:gridSpan w:val="10"/>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jc w:val="center"/>
              <w:ind w:left="2350"/>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71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100" w:type="dxa"/>
            <w:vAlign w:val="bottom"/>
          </w:tcPr>
          <w:p>
            <w:pPr>
              <w:jc w:val="center"/>
              <w:ind w:left="2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61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1000" w:type="dxa"/>
            <w:vAlign w:val="bottom"/>
            <w:tcBorders>
              <w:bottom w:val="single" w:sz="8" w:color="CCEEFF"/>
            </w:tcBorders>
            <w:gridSpan w:val="2"/>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jc w:val="center"/>
              <w:ind w:left="2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16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3100" w:type="dxa"/>
            <w:vAlign w:val="bottom"/>
          </w:tcPr>
          <w:p>
            <w:pPr>
              <w:jc w:val="center"/>
              <w:ind w:left="2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71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100" w:type="dxa"/>
            <w:vAlign w:val="bottom"/>
            <w:shd w:val="clear" w:color="auto" w:fill="CCEEFF"/>
          </w:tcPr>
          <w:p>
            <w:pPr>
              <w:jc w:val="center"/>
              <w:ind w:left="2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46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480" w:type="dxa"/>
            <w:vAlign w:val="bottom"/>
            <w:tcBorders>
              <w:top w:val="single" w:sz="8" w:color="CCEEFF"/>
            </w:tcBorders>
            <w:gridSpan w:val="3"/>
          </w:tcPr>
          <w:p>
            <w:pPr>
              <w:spacing w:after="0"/>
              <w:rPr>
                <w:sz w:val="15"/>
                <w:szCs w:val="15"/>
                <w:color w:val="auto"/>
              </w:rPr>
            </w:pPr>
          </w:p>
        </w:tc>
        <w:tc>
          <w:tcPr>
            <w:tcW w:w="3100" w:type="dxa"/>
            <w:vAlign w:val="bottom"/>
            <w:tcBorders>
              <w:top w:val="single" w:sz="8" w:color="CCEEFF"/>
            </w:tcBorders>
          </w:tcPr>
          <w:p>
            <w:pPr>
              <w:jc w:val="center"/>
              <w:ind w:left="235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2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w:t>
            </w:r>
          </w:p>
        </w:tc>
        <w:tc>
          <w:tcPr>
            <w:tcW w:w="4820" w:type="dxa"/>
            <w:vAlign w:val="bottom"/>
            <w:tcBorders>
              <w:bottom w:val="single" w:sz="8" w:color="CCEEFF"/>
            </w:tcBorders>
            <w:gridSpan w:val="7"/>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71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100" w:type="dxa"/>
            <w:vAlign w:val="bottom"/>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21"/>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24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INSIDER TRADING POLICIES</w:t>
            </w:r>
          </w:p>
        </w:tc>
        <w:tc>
          <w:tcPr>
            <w:tcW w:w="4760" w:type="dxa"/>
            <w:vAlign w:val="bottom"/>
            <w:tcBorders>
              <w:bottom w:val="single" w:sz="8" w:color="CCEEFF"/>
            </w:tcBorders>
            <w:gridSpan w:val="6"/>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71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3100" w:type="dxa"/>
            <w:vAlign w:val="bottom"/>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71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3100" w:type="dxa"/>
            <w:vAlign w:val="bottom"/>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1"/>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71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3100" w:type="dxa"/>
            <w:vAlign w:val="bottom"/>
            <w:shd w:val="clear" w:color="auto" w:fill="CCEEFF"/>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020" w:type="dxa"/>
            <w:vAlign w:val="bottom"/>
            <w:tcBorders>
              <w:top w:val="single" w:sz="8" w:color="CCEEFF"/>
            </w:tcBorders>
            <w:gridSpan w:val="8"/>
          </w:tcPr>
          <w:p>
            <w:pPr>
              <w:spacing w:after="0"/>
              <w:rPr>
                <w:sz w:val="15"/>
                <w:szCs w:val="15"/>
                <w:color w:val="auto"/>
              </w:rPr>
            </w:pPr>
          </w:p>
        </w:tc>
        <w:tc>
          <w:tcPr>
            <w:tcW w:w="3100" w:type="dxa"/>
            <w:vAlign w:val="bottom"/>
            <w:tcBorders>
              <w:top w:val="single" w:sz="8" w:color="CCEEFF"/>
            </w:tcBorders>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76"/>
        </w:trPr>
        <w:tc>
          <w:tcPr>
            <w:tcW w:w="81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100" w:type="dxa"/>
            <w:vAlign w:val="bottom"/>
            <w:shd w:val="clear" w:color="auto" w:fill="CCEEFF"/>
          </w:tcPr>
          <w:p>
            <w:pPr>
              <w:jc w:val="center"/>
              <w:ind w:left="237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1"/>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20-F to the “Company,” “Rail Vision,” “we,” “us,” “our” and other similar designations refer to Rail Vision Ltd. All references to “shares” or “ordinary shares” are to our ordinary shares, no par value. All references to “Israel” are to the State of Israel. “U.S. GAAP” means the generally accepted accounting principles of the United States. Unless otherwise stated, all of our financial information presented in this Annual Report has been prepared in accordance with U.S. GAAP. Any discrepancies in any table between totals and sums of the amounts listed are due to rounding. Unless otherwise indicated, or the context otherwise requires, references in this Annual Report to financial and operational data for a particular year refer to the fiscal year of our company ended December 31 of that year.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reporting currency and financial currency is the U.S. dollar. In this Annual Report, “NIS” means New Israeli Shekel, and “$,” “US$” and “U.S. dollars” mean United States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15, 2023, we effected a reverse share split of our ordinary shares at the ratio of 8:1. Unless the context expressly dictates otherwise, all references to share and per share amounts referred to herein reflect the reverse share split.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U.S. Jumpstart Our Business Startups Act of 2012, or JOBS Act, and we may take advantage of certain exemptions, including exemptions from various reporting requirements that are otherwise applicable to public traded entities that do not qualify as emerging growth companies. These exemptions include:</w:t>
      </w:r>
    </w:p>
    <w:p>
      <w:pPr>
        <w:spacing w:after="0" w:line="176"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or the Sarbanes-Oxley Act;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We have elected to irrevocably opt out of this extended transition period and, as a result, we are required to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first fiscal year in which our annual gross revenues exceed $1.07 billion; (ii) the last day of the fiscal year following the fifth anniversary of the date of our initial public offering (i.e., December 31, 2027); (iii) the date that we become a “large accelerated filer” as defined in Rule 12b-2 under the Exchange Act, which would occur if the aggregate worldwide market value of our ordinary shares, including ordinary shares represented by warrants, held by non-affiliates is at least $700 million as of the last business day of our most recently completed second fiscal quarter; or (iv) the date on which we have issued more than $1.0 billion in non-convertible debt securities during any three-year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Other trademarks, service marks and trade names appearing in this Annual Report on Form 20-F are the property of their respective owners. Solely for convenience, some of the trademarks, service marks and trade names referred to in this Annual Report on Form 20-F are listed without the ® and ™ symbols, but we will assert, to the fullest extent under applicable law, our rights to our trademarks, service marks and trade names.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included or incorporated by reference in this Annual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summarized below:</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and sell our products and to generate significant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advance our technologies and commercialization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partners and grow relationships with new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protect the validity of our U.S. and other patents and other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and penetrate markets in new locations and new market segments;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 members and hire additional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current laws and the passages of future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greater regulatory compliance needed in existing and new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demand for passenger and freight transport;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key performance milestones in our planned operational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adequate sales, marketing, production and distribution channels;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business model by investors;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ordinary shares on Nasdaq;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political and economic instability in the Middle East that could harm our business, including due to the current security situation in Israel;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referred to in “Item 3.D. Risk Factors,” “Item 4. Information on the Company,” and “Item 5. Operating and Financial Review and Prospects,” as well as in this Annual Report on Form 20-F generally.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Annual Report on Form 20-F in greater detail under the heading “Risk Factors” and elsewhere in this Annual Report on Form 20-F. You should not rely upon forward-looking statements as predictions of future events.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Annual Report on Form 20-F.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Market data and certain industry data and forecasts used throughout this Annual Report on Form 20-F were obtained from sources we believe to be reliable, including market research databases, publicly available information, reports of governmental agencies, and industry publications and surveys. We have relied on certain data from third party sources, including industry forecasts and market research, which we believe to be reliable based on our management’s knowledge of the industry. While we are not aware of any misstatements regarding the industry data presented in this Annual Report on Form 20-F, our estimates involve risks and uncertainties and are subject to change based on various factors, including those discussed under the heading “Risk Factors” and elsewhere in this Annual Report on Form 20-F.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Statements made in this Annual Report on Form 20-F concerning the contents of any agreement, contract or other document are summaries of such agreements, contracts or documents and are not a complete description of all of their terms. If we filed any of these agreements, contracts or documents as exhibits to this Report or to any previous filing with the Securities and Exchange Commission, or SEC, you may read the document itself for a complete understanding of its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40" w:hanging="652"/>
        <w:spacing w:after="0" w:line="530" w:lineRule="auto"/>
        <w:tabs>
          <w:tab w:leader="none" w:pos="22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ind w:left="660" w:right="7780" w:hanging="652"/>
        <w:spacing w:after="0" w:line="503" w:lineRule="auto"/>
        <w:tabs>
          <w:tab w:leader="none" w:pos="23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together with all of the other information in this Annual Report on Form 20-F. The risks and uncertainties described below are those significant risk factors, currently known and specific to us, that we believe are relevant to an investment in our securities. Additional risks and uncertainties not currently known to us or that we now deem immaterial may also harm us. If any of these risks materialize our business, results of operations or financial condition could suffer, and the price of our ordinary shares could decline substantially.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below. These risks include, among others,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commercialization 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significant revenue from the sale of our current products and may never be profitable.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 Raising additional capital would cause dilution to our existing shareholders, and may affect the rights of existing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jc w:val="both"/>
        <w:ind w:left="980" w:hanging="324"/>
        <w:spacing w:after="0" w:line="281"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entirely on the success of our current products that we have started to commercialize and that we may further develop, we may not be able to successfully introduce these products and commercialize them, and we may not be able to successfully manage our planned growth, and our operating results and financial condition may fluctuate. Defects in products could give rise to product returns or product liability, warranty or other claims that could result in material expenses, diversion of management time and attention, and damage to our reputation.</w:t>
      </w:r>
    </w:p>
    <w:p>
      <w:pPr>
        <w:spacing w:after="0" w:line="164"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changes in railway safety regulations.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applicable employment laws, we may not be able to enforce covenants not to compete and therefore may be unable to prevent our competitors from benefiting from the expertise of some of our former employees.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our failure to compete successfully could cause any future revenues and the demand for our products not to materialize or to decline over time.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international operations will expose us to additional market and operational risks, and failure to manage these risks may adversely affect our business and operating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breaches of our data security could adversely affect our business. Additionally, we are subject to data ownership and privacy regulations which may expose us to lawsuits and sanctions for violations.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developments, or social media posts and interactions may impact our reputation.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sustainability and environmental, social, and governance\ initiatives could increase our costs or otherwise adversely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9" w:lineRule="exact"/>
        <w:rPr>
          <w:sz w:val="20"/>
          <w:szCs w:val="20"/>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 affecting our ability to compete.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intellectual property, which could be expensive, time consuming, and unsuccessful and we may be subject to claims challenging the inventorship of our intellectual property, and we may not be able to protect our intellectual property rights throughout the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Securities</w:t>
      </w:r>
    </w:p>
    <w:p>
      <w:pPr>
        <w:spacing w:after="0" w:line="229" w:lineRule="exact"/>
        <w:rPr>
          <w:sz w:val="20"/>
          <w:szCs w:val="20"/>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 “passive foreign investment company,” or PFIC, for U.S. federal income tax purposes in the current taxable year or may be one in any subsequent taxable year. There generally would be negative tax consequences for U.S. taxpayers that are holders of our ordinary shares if we are or were to become a PFIC.</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securities litigation, which is expensive and could divert management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may be highly volatile, and you could lose all or part of your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Israeli Law and Our Incorporation, Location and Operations in Israel</w:t>
      </w:r>
    </w:p>
    <w:p>
      <w:pPr>
        <w:spacing w:after="0" w:line="229"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headquarters, research and development and other significant operations are located in Israel, and, therefore, our results may be adversely affected by political, economic and military instability in Israel.</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and responsibilities as a holder of our securities are governed by Israeli law, which differs in some material respects from the rights and responsibilities of shareholders of U.S.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disrupted as a result of the obligation of management or key personnel to perform military service.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for any reason to meet the continued listing requirements of Nasdaq, such action or inaction could result in a delisting of our ordinary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our ordinary shares in the public market by our existing shareholders could cause our share price to fall.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or the issuance of additional equity securities would cause dilution to our existing shareholders and may affect the rights of existing shareholders or the market price of our ordinary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early commercialization 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early commercialization stage company with a limited operating history and have not yet generated significant revenues from our sales and operations. We have incurred net losses since our inception in 2016, including net losses of approximately $29 million for the year ended December 31, 2024. As of December 31, 2024, we had an accumulated deficit of approximately $95 million.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to develop our solutions and have begun the process to invest in our sales and marketing activities as we start to transition to an early commercialization stage company. We have financed our operations primarily through the issuance of equity securities. See “Item 5. Operating and Financial Review and Prospects— B. Operating Results— Financing Activities— Execution of Credit Facility Agreement and Issuance of Warrant (January 2024)” “Item 5. Operating and Financial Review and Prospects— B. Operating Results— Financing Activities—Standby Equity Purchase Agreement (October 2024)” and for additional information. The amount of our future net losses will depend, in part, on completing the development of our products, the rate of our future expenditures and our ability to obtain funding through the issuance of our securities, strategic collaborations or grants. We expect to continue to incur significant losses until we are able to successfully commercialize our products. We anticipate that our expenses will increase substantially if and as we:</w:t>
      </w:r>
    </w:p>
    <w:p>
      <w:pPr>
        <w:spacing w:after="0" w:line="19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and testing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production and distribution infrastructure to commercialize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license, and/or develop other products and subsequent generations of our current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and retain skilled personnel;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and our product development and planned future commercialization efforts.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revenues from the sale of our current products and may never be profitable.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have commenced commercialization efforts of our product, we have not yet generated significant revenues since the date of our inception. Our first revenues were recorded in our unaudited interim condensed financial statements for the period ended June 30, 2021. Our ability to generate revenue and achieve profitability depends on our ability to successfully complete the development of, and to commercialize, our products. Our ability to generate future revenue from product sales depends heavily on our success in many areas, including but not limited to:</w:t>
      </w:r>
    </w:p>
    <w:p>
      <w:pPr>
        <w:spacing w:after="0" w:line="18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development and testing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amount and quality) products to support market demand for our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products, either directly or with a collaborator or distributor;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we will need to invest significant time and require substantial additional capital to commercialize our products. In addition, our operating plans may change as a result of many factors that may currently be unknown to us, and we may need to seek additional funds sooner than planned. Our future capital requirements will depend on many factors, including but not limited to:</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product development, testing and other related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commercial supplies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production and distribution capabilities;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products. In addition, we cannot guarantee that future financing will be available, when needed,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ordinary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unfavorable to us, any of which may have a material adverse effect on our business, operating results and prospects. Even if we believe that we have sufficient funds for our current or future operating plans, we may seek additional capital if market conditions are favorable or if we have specific strategic considerations.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our products or be unable to expand our operations or otherwise capitalize on our business opportunities, as desired, which could materially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would cause dilution to our existing shareholders, and may affect the rights of existing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collaborations and strategic and licensing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entirely on the success of our current products that we have started to commercialize and that we may further develop, and we may not be able to successfully introduce these products and commercialize them.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in the early commercialization stage. Until recently, we have invested almost all of our efforts and financial resources in the research, development and testing of our products in development. As a result, our business is entirely dependent on our ability to complete the development of, and to successfully commercialize, our product candidates. The process of development and commercialization is long, complex, costly and uncertain of outcome. While we have several ongoing tests with train operators through which we hope to demonstrate our technology, we cannot assure you that any of these programs will result in subsequent sales of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in products could give rise to product returns or product liability, warranty or other claims that could result in material expenses, diversion of management time and attention, and damage to our reputation.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we are successful in introducing our products to the market, our products may contain undetected defects or errors that, despite testing, are not discovered until after a product has been used. Specifically, our safety device is complex and could have, or could be alleged to have, defects in design or manufacturing or other errors or failures. This could result in delayed market acceptance of those products, claims from distributors, end-users or others, increased end-user service and support costs and warranty claims, damage to our reputation and business, or significant costs to correct the defect or error. Furthermore, we face a risk of exposure to claims in the event that our products are used in connection with autonomous train operations, and do not perform as expected or experience a malfunction that results in personal injury or death.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claim brought against us, regardless of its merit, could result in material expense, diversion of management time and attention, and damage to our reputation, and could cause us to fail to retain or attract customers.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 limited coverage of product liability insurance, which could materially affect our financial condition in the event we have a product liability claim.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we maintain limited coverage of product liability insurance in the amounts of $2 million to $3 million, depending on the territory, which will be necessary prior to the commercialization of our products. It is likely that our current and/or any future product liability insurance that we will have in the future will be subject to significant deductibles and there is no guarantee that such insurance will be available or adequate to protect against all such claims, or we may elect to self-insure with respect to certain matters. Costs or payments made in connection with warranty and product liability claims and product recalls or other claims could materially affect our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changes in railway safety regulations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 autonomous train industry continues to develop, regulators, including the U.S. Department of Transportation’s Federal Railroad Administration, or FRA, and the European Union Agency for Railways, or ERA, may adapt existing regulations and create new ones in order to ensure the compatibility of autonomous trains and autonomous train technology with regulatory expectations, requirements relating to safety and legal liability. On March 29, 2018, for instance, the FRA issued a formal Request For Information, or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are successful in introducing our products to the market, the operating results and financial condition of our company may fluctuate from quarter to quarter and year to year and are likely to continue to vary due to a number of factors, many of which will not be within our control. If our operating results do not meet the guidance that we provide to the marketplace or the expectations of securities analysts or investors, the market price of our ordinary shares will likely decline. Fluctuations in our operating results and financial condition may be due to a number of factors, including those listed below:</w:t>
      </w:r>
    </w:p>
    <w:p>
      <w:pPr>
        <w:spacing w:after="0" w:line="183"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that we sell during any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 cycles;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amounts that we spend to promote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 and servicing our installed base of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systems and the generation of sales from those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products and services by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predicting sales patterns and reorder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threats of litigation, including intellectual property claims by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 tax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responses to price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that affect end-user demand and end-user levels of product design and manufacturing;</w:t>
      </w:r>
    </w:p>
    <w:p>
      <w:pPr>
        <w:spacing w:after="0" w:line="22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that affect returns on our cash balances and short-term investments;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dollar-NIS exchange rates that affect the value of our net assets, future revenues and expenditures from and/or relating to our activities carried out in those currencies;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research and development activities by our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end-use/end-user governmental regulation policy.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Due to all of the foregoing factors, and the other risks discussed herein, you should not rely on quarter to quarter and year to year comparisons of our operating results as an indicator of our future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Even if we are successful in completing the development of our products in development, our failure to compete successfully could cause any future revenues and the demand for our products not to materialize or to decline over time.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aim to sell our products to train operators and/or rolling stock manufacturers. 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Current and future competitors may be able to respond more quickly to new or emerging technologies and changes in customer demands and to devote greater resources to the development, promotion and sale of their products than we can. Our current and potential competitors may develop and market new technologies that render our existing or future products obsolete, unmarketable or less competitive (whether from a price perspective or otherwise). We cannot assure you that we will be able to establish a competitive position or to compete successfully against current and future sources of competition.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component parts that are used in our products from third-party suppliers. While there are several potential suppliers of most of these component parts that we use, we currently choose to use only one or a limited number of suppliers for several of these components. Our reliance on a single or limited number of vendors involves a number of risks, including:</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shortages of some key components;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shortfalls, if traceable to particular product components, since the supplier of the faulty component cannot readily be replaced;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of a product on which we rely;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of several months in the delivery of components in the event a replacement product is sought;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these vendors;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manufacturing capabilities, quality and costs.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require any new supplier to become “qualified” pursuant to our internal procedures. The qualification process involves evaluations of varying durations, which may cause production delays if we were required to qualify a new supplier unexpectedly. We generally assemble our systems and parts based on our internal forecasts and the availability of assemblies, components and finished goods that are supplied to us by third parties, which are subject to various lead times. If certain suppliers were to decide to discontinue production of an assembly, or component that we use, the unanticipated change in the availability of supplies, or unanticipated supply limitations, could cause delays in, or loss of, sales, increased production or related costs and consequently reduced margins, and damage to our reputation. If we were unable to find a suitable supplier for a particular component or compound, we could be required to modify our existing products or the end-parts that we offer to accommodate substitute components or compounds.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some of our agreements, customers require the ability to maintain systems for a period of at least ten years. During such a long period, there is a risk that some of the system components of our products will become obsolete and will not be available from our suppliers. Therefore, there is a risk that we will be obliged to hold an inventory of components that may become obsolete, or be forced to locate or develop alternatives to such components.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operations at our and third-parties’ manufacturing sites could prevent us from timely filling customer orders and could lead to unforeseen costs for us.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plan to assemble and test the systems that we sell at single facilities in various locations that are specifically dedicated to separate categories of systems. Because of our reliance on all of these production facilities, a disruption at any of those facilities could materially damage our ability to supply our products to the marketplace in a timely manner. Depending on the cause of the disruption, we could also incur significant costs to remedy the disruption and resume product shipments. Such disruptions may be caused by, among other factors, earthquakes, fire, flood and other natural disasters. Accordingly, any such disruption could result in a material adverse effect on our revenue, results of operations and earnings, and could also potentially damage our reputation. Additionally, we rely on third-party manufacturers for components of our products, and we do not have control over the facilities of these third-party manufacturers.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planned international operations will expose us to additional market and operational risks, and failure to manage these risks may adversely affect our business and operating results.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derive a substantial percentage of our sales from international markets. Accordingly, we will face significant operational risks from doing business internationally, including:</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ship and/or manufacture overseas;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barriers sustained by conducting business activity in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greater difficulties in collecting accounts receivable;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certain countries, particularly in Asia and South America;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products for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complex foreign laws, treaties and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our ability to sell or develop our products in certain foreign markets;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the laws, regulations and the court systems of many jurisdictions.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failure to manage the market and operational risks associated with our international operations effectively could limit the future growth of our business and adversely affect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might be adversely affected by security breaches, including any cybersecurity incidents.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depend on the efficient and uninterrupted operation of our computer and communications systems, and those of our consultants, contractors and vendors, which we use for, among other things, sensitive company data, including our intellectual property, financial data and other proprietary business information.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certain of our operations have business continuity and disaster recovery plans and other security measures intended to prevent and minimize the impact of IT-related interruptions, our IT infrastructure and the IT infrastructure of our consultants, contractors and vendors are vulnerable to damage from cyberattacks, computer viruses, unauthorized access, electrical failures and natural disasters or other catastrophic events. We could experience failures in our information systems and computer servers, which could result in an interruption of our normal business operations and require substantial expenditure of financial and administrative resources to remedy. System failures, accidents or security breaches can cause interruptions in our operations and can result in a material disruption of our targeted phage therapies, product candidates and other business operations. The loss of data from completed or future studies or clinical trials could result in delays in our research, development or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regulatory investigations and redresses, penalties and liabilities and the development of our product candidates could be delayed or otherwise adversely affected.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though we believe we carry commercially reasonable business interruption and liability insurance, we might suffer losses as a result of business interruptions that exceed the coverage available under our insurance policies or for which we do not have coverage. For example, we are not insured against terrorist attacks or cyberattacks. Any natural disaster or catastrophic event could have a significant negative impact on our operations and financial results. Moreover, any such event could delay the development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ownership and privacy regulations which may expose us to lawsuits and sanctions for violations.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General Data Protection Regulation, GDPR, of the European Union, there are general restrictions regarding the photographing of images without the knowledge and permission of the person being photographed. In this context, the information collected by our system’s detection units must be protected and encrypted. Failure to comply with these regulations under the GDPR may expose us to lawsuits and sanctions for such violations. In addition, the ownership of the information collected through our system’s detection units is determined in accordance with the local law under which the train operates and will usually remain the property of the customer, with us receiving only limited permission to make use of the information for system improvement but not for other uses, and all subject to the provisions of the said law. These limitations may impede the implementation of our plans to develop certain services through the processing of information obtained by the systems.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foreign tax laws could have a material adverse effect on our business, cash flow, results of operations or financial conditions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planned growth and expansion.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make investments in our products in development and that we have begun to commercialize. We expect that our annual operating expenses will continue to increase as we invest in business development, marketing, research and development, manufacturing and production infrastructure, and develop customer service and support resources for future customers. Failure to expand operational and financial systems timely or efficiently may result in operating inefficiencies, which could increase costs and expenses to a greater extent than we anticipate and may also prevent us from successfully executing our business plan. We may not be able to offset the costs of operation expansion by leveraging the economies of scale from our growth in negotiations with our suppliers and contract manufacturers. Additionally, if we increase our operating expenses in anticipation of the growth of our business and this growth falls short of our expectations, our financial results will be negatively impacted.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business grows, we will have to manage additional product design projects, materials procurement processes, and sales efforts and marketing for an increasing number of products, as well as expand the number and scope of our relationships with suppliers, distributors and end customers. If we fail to manage these additional responsibilities and relationships successfully, we may incur significant costs, which may negatively impact our operating results. Additionally, in our efforts to develop new products with innovative functionality and features, we may devote significant research and development resources to products and product features for which a market does not develop quickly, or at all. If we are not able to predict market trends accurately, we may not benefit from such research and development activities, and our results of operations may suffer.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our future development and commercialization plans and strategies develop, we expect to need additional managerial, operational, sales, marketing, financial and legal personnel.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failure to deliver and timely deliver our products to customers, loss of employees and reduced productivity among remaining employees. Our expected growth could require significant capital expenditures and may divert financial resources from other projects, such as the development of additional new products. If our management is unable to effectively manage our growth, our expenses may increase more than expected, our ability to generate and/or grow revenue could be reduced, and we may not be able to implement our business strategy.</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 process to reduce our operational costs, in December 2023, we took steps to lower our expenses through a targeted reduction in headcount of our employee base by 12 employees representing approximately 20% of our workforce as of such date. This resource adjustment resulted a significant reduction in fixed costs, including salaries and professional services and we evaluate our needed resources on an ongoing basis.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retain our executive officers and to attract, retain and motivate other qualified personnel.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senior management and qualified employees. The loss of their services without proper replacement may adversely impact the achievement of our objectives. Also, our performance is largely dependent on the talents and efforts of highly skilled individuals, particularly our software engineers. Recruiting and retaining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in the industry in which we operate. Moreover, certain of our competitors or other technology businesses may seek to hire our employees. The inability to recruit and retain qualified personnel, or the loss of the services of our executive officers, without proper replacement, may impede the progress of our development and commercialization objectives.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These agreements prohibit our employees from competing directly with us or working for our competitors or clients for a limited period after they cease working for us.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events, developments, or social media posts and interactions may impact our reputation.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Damage to our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easy for individuals and groups to communicate and share opinions and views in regard to issuers and their activities, whether true or not. Negative posts or comments about us on any social network could damage our reputation. In addition, employees or others might disclose non-public sensitive information related to our business through external media channels. The continuing evolution of social media will present us with new challenges and risks. We do not ultimately have direct control over how we are perceived by others. Reputation loss may result in decreased investor confidence, increased challenges in developing and maintaining community relations and an impediment to our overall ability to advance our business strategy and realize on our growth prospects.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emerging growth company under the JOBS Act, our management is required to report upon the effectiveness of our internal control over financial reporting under Section 404 of the Sarbanes-Oxley Act. Our independent registered public accounting firm is not required to formally attest to the effectiveness of our internal control over financial reporting until the date we are no longer an emerging growth company and reach accelerated filer status.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effectively prevent fraud. We are required to document and test our internal control procedures in order to satisfy the requirements of Section 404 of the Sarbanes-Oxley Act, which requires annual management assessments of the effectiveness of our internal control over financial reporting. We have an ongoing program to perform the system and process evaluation and testing necessary to continue to comply with these requirements. In addition, if we fail to maintain the adequacy of our internal control, as such standards are modified, supplemented or amended from time to time, we may not be able to ensure that we can conclude on an ongoing basis that we have effective internal control over financial reporting in accordance with Section 404. Disclosing deficiencies or weaknesses in our internal control, failing to remediate these deficiencies or weaknesses in a timely fashion or failing to achieve and maintain an effective internal control environment may cause investors to lose confidence in our reported financial information, which could have a material adverse effect on the price of our Ordinary Shares. If we cannot provide reliable financial reports or prevent fraud, our operating results could be harmed.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the economic health of the global economies. If the conditions in the global economies remain uncertain or continue to be volatile, or if they deteriorate, including as a result of the impact of military conflict, such as the war between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increases in inflation raise our costs for commodities, labor, materials and services and other costs required to grow and operate our business, and failure to secure these on reasonable terms may adversely impact our financial condition. Additionally, increases in inflation, along with the uncertainties surrounding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Scrutiny of sustainability and environmental, social, and governance, or ESG, initiatives could increase our costs or otherwise adversely impact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Public companies have recently faced scrutiny related to ESG practices and disclosures from certain investors, capital providers, shareholder advocacy groups, other market participants and other stakeholder groups. Such scrutiny may result in increased costs, enhanced compliance or disclosure obligations, or other adverse impacts on our business, financial condition or results of operations. If our ESG practices and reporting do not meet investor or other stakeholder expectations, we may be subject to investor or regulator engagement regarding such matters. Our failure to comply with any applicable ESG rules or regulations could lead to penalties and adversely impact our reputation, access to capital and employee retention. Such ESG matters may also impact our third-party contract manufacturers and other third parties on which we rely, which may augment or cause additional impacts on our business, financial condition, or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relied on trade secret protection and confidentiality agreements to protect the intellectual property related to our technologies and products. Since our incorporation, we have also sought patent protection for certain of our products. Our success depends in large part on our ability to obtain and maintain patent and other intellectual property protection in the United States and in other countries with respect to our proprietary technology and new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in other countries with respect to our novel technologies and products, which are important to our business. Patent prosecution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growing portfolio of 11 patents registered in the USA; 4 patents registered in China; 2 patent registered from the European Patent Office (EPO) and validated in Germany, Switzerland, Hungary, Austria, Denmark, France and Great Britain; 6 patents issued in Japan; 3 patents issued in India; 11 pending patent applications, of which 11 are national phase patent applications filed in the USA, EPO, China, Japan and India under the provisions of the Patent Cooperation Treaty (PCT) through World Intellectual Property Organization (WIPO); and 1 of which is a patent application in Hong Kong and requested based on the European national phase patent application. We cannot offer any assurances about which, if any, patent applications will be issued, the breadth of any such patent once issued, or whether any issued patents will be found invalid or unenforceable or will be threatened by third parties. Any successful opposition to these patents or any other patents owned by or licensed to us could deprive us of rights necessary for the successful commercialization of any existing or new products.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Also, there is no guarantee that the patent registration applications that were submitted by us with regards to our technologies will result in patent registration. In the event of failure to complete patent registration, the Company’s developments will not be proprietary, which might allow other entities to manufacture the Company’s products and compete with 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there is no assurance that all potentially relevant prior art relating to our patent applications has been found, which can invalidate a patent or prevent a patent from issuing from a pending patent application. Even if patents do successfully issue, and even if such patents cover our products, third parties may challenge their validity, enforceability or scope, which may result in such patents being narrowed, found unenforceable or invalidated. Furthermore, even if they are unchallenged, our patent applications and any future patents may not adequately protect our intellectual property, provide exclusivity for our new products, or prevent others from designing around our claims. Any of these outcomes could impair our ability to prevent competition from third parties, which may have an adverse impact on our business.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cannot obtain and maintain effective patent rights for our products, we may not be able to compete effectively, and our business and results of operations would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products, we may not be able to compete effectively in our markets.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protection afforded by any patents that may be granted, we seek to protect our proprietary technology and processes, in part, by entering into confidentiality agreements with our employees, consultants, scientific advisors, and contractors. We also seek to preserve the integrity and confidentiality of our data, trade secrets and intellectual property by maintaining physical security of our premises and physical and electronic security of our information technology systems. Agreements or security measures may be breached, and we may not have adequate remedies for any breach. In addition, our trade secrets and intellectual property may otherwise become known or be independently discovered by competitors.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provide any assurances that our trade secrets and other confidential proprietary information will not be disclosed in violation of our confidentiality agreements or that competitors will not otherwise gain access to our trade secrets or independently develop substantially equivalent information and techniques. Also, misappropriation or unauthorized and unavoidable disclosure of our trade secrets and intellectual property could impair our competitive position and may have a material adverse effect on our business. Additionally, if the steps taken to maintain our trade secrets and intellectual property are deemed inadequate, we may have insufficient recourse against third parties for misappropriating any trade secret.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products, and we might be required to litigate or obtain licenses from third parties in order to develop or market our product candidates. Such litigation or licenses could be costly or not available on commercially reasonable terms.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inherently difficult to conclusively assess our freedom to operate without infringing on third party rights. Our competitive position may be adversely affected if existing patents or patents resulting from patent applications issued to third parties or other third party intellectual property rights are held to cover our products or elements thereof, or our manufacturing or uses relevant to our development plans. In such cases, we may not be in a position to develop or commercialize products or our product candidates unless we successfully pursue litigation to nullify or invalidate the third 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products. If such an infringement claim should be brought and be successful, we may be required to pay substantial damages, be forced to abandon our products or seek a license from any patent holders. No assurances can be given that a license will be available on commercially reasonable terms, if at all.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 party patents or applications. For example, U.S. patent applications filed before November 29, 2000 and certain U.S. patent applications filed after that date that will not be filed outside the United States remain confidential until patents are issued.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products. If we fail in any such dispute, in addition to being forced to pay damages, we may be temporarily or permanently prohibited from commercializing our products that are held to be infringing. We might, if possible, also be forced to redesign our new products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any issued patents.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intellectual property, which could be expensive, time consuming, and unsuccessful.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intellectual property. If we were to initiate legal proceedings against a third party to enforce a patent covering one of our products,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the USPTO, or made a misleading statement, during prosecution. Under the Leahy-Smith Act, the validity of U.S. patents may also be challenged in post-grant proceedings before the USPTO. The outcome following legal assertions of invalidity and unenforceability is unpredictable.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Derivation proceedings initiated by third parties or brought by us may be necessary to determine the priority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research programs, license necessary technology from third parties, or enter into development partnerships that would help us bring our products to market.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intellectual property.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or right to compensation, with respect to our current patent and patent applications, future patents or other intellectual property as an inventor or co-inventor. For example, we may have inventorship disputes arise from conflicting obligations of consultants or others who are involved in developing our products. Litigation may be necessary to defend against these and other claims challenging inventorship or claiming the right to compensation. If we fail in defending any such claims, in addition to paying monetary damages, we may lose valuable intellectual property rights, such as exclusive ownership of, or rights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case law clarifies that the right to receive consideration for “service inventions” can be waived by the employee.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assign to us all rights to any inventions created in the scope of their employment or engagement with us, we may face claims demanding remuneration in consideration of assigned inventions. As a consequence of such claims, we could be required to pay additional remuneration or royalties to our current and former employees, or be forced to litigate such claims, which could negatively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products, as well as monitoring their infringement in all countries throughout the world, would be prohibitively expensive, and our intellectual property rights in some countries can be less extensive than those in the United States.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products. Future patents or other intellectual property rights may not be effective or sufficient to prevent such products from competing with our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monitor and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62"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that may be adopted by the Public Company Accounting Oversight Board requiring mandatory audit firm rotation or a supplement to the auditor’s report on the financial statements;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107 of the JOBS Act, which provides that an “emerging growth company” can take advantage of the extended transition period provided in Section 7(a)(2)(B) of the Securities Act of 1933, as amended, or the Securities Act, for complying with new or revised accounting standards. This means that an “emerging growth company” can delay the adoption of certain accounting standards until those standards would otherwise apply to private companies. We have elected to delay such adoption of new or revised accounting standards. As a result of this adoption, our financial statements may not be comparable to companies that comply with the public company effective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take advantage of these exemptions until we are no longer an “emerging growth company.” We will remain an emerging growth company until the earlier of (1) the last day of the fiscal year (a) following the fifth anniversary of the date of our first sale of common equity securities pursuant to an effective registration statement under the Securities Act, (b) in which we have total annual gross revenue of at least $1.07 billion, or (c) in which we are deemed to be a large accelerated filer, which means the market value of our ordinary shares that is held by non-affiliates exceeds $700 million as of the prior June 30, and (2) the date on which we have issued more than $1.0 billion in non-convertible debt during the prior three-year period.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market prices may be more volatile and may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Also, although the Israeli Companies Law, or the Companies Law, will require us to disclose the annual compensation of our five most highly compensated senior officers on an individual basis, this disclosure will not be as extensive as that required of a U.S. domestic issuer. For example, the disclosure required under the Companies Law is limited to compensation paid in the immediately preceding year without any requirement to disclose option exercises and vested stock options, pension benefits or potential payments upon termination or a change of control. Furthermore, as a foreign private issuer, we are also not subject to the requirements of Regulation FD (Fair Disclosure) promulgated under the Exchange Act.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exemptions and leniencies will reduce the frequency and scope of information and protections to which you are entitled as an investor.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for U.S. federal income tax purposes in the current taxable year or may become one in any subsequent taxable year. There generally would be negative tax consequences for U.S. taxpayers that are holders of our ordinary shares if we are or were to become a PFIC.</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there can be no assurance that we were not a PFIC for the year ended December 31, 2024, and although we have not determined whether we will be a PFIC for United States federal income tax purposes for the year ending December 31, 2025, or in any subsequent year, there can be no assurance that our market capitalization and the composition of our income, assets and operations for any such years will not cause us to be a PFIC. However, this is a factual determination that must be made annually after the close of each taxable year. Moreover, the value of our assets for purposes of the PFIC determination may be determined by reference to the public price of our ordinary shares, which could fluctuate significantly. In addition, it is possible that the Internal Revenue Service may take a contrary position with respect to our determination in any particular year, and therefore, there can be no assurance that we will not be classified as a PFIC in the current taxable year or in the future. Certain adverse consequences of PFIC status may be alleviated if a U.S. Holder (as defined below) makes a “mark to market” election or an election to treat us as a qualified electing fund, or QEF. These elections would result in an alternative treatment (such as mark-to-market treatment) of our ordinary shares. It is not expected that a U.S. Holder will be able to make a QEF election because we do not intend to provide U.S. Holders with the information necessary to make a QEF election. Certain adverse U.S. federal income tax consequences could apply to a U.S. Holder (as defined in “Certain Material U.S. Federal Income Tax Considerations”) if we are treated as a PFIC for any taxable year during which such U.S. Holder holds our ordinary shares. U.S. Holders should consult their tax advisors about the potential application of the PFIC rules to their investment in our ordinary shares. For further discussion, see “Item 10.E—Additional Information—Taxation—Certain Material U.S. Federal Income Tax Considerations—Passive Foreign Investment Companies.”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or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highly volatile, and you could lose all or part of your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ordinary shares and warrants is likely to be volatile. This volatility may prevent you from being able to sell your ordinary shares or warrants at or above the price you paid for your securities. Our share price could be subject to wide fluctuations in response to a variety of factors, which include:</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25" w:lineRule="exact"/>
        <w:rPr>
          <w:rFonts w:ascii="Times New Roman" w:cs="Times New Roman" w:eastAsia="Times New Roman" w:hAnsi="Times New Roman"/>
          <w:sz w:val="18"/>
          <w:szCs w:val="18"/>
          <w:color w:val="auto"/>
        </w:rPr>
      </w:pPr>
    </w:p>
    <w:p>
      <w:pPr>
        <w:ind w:left="5540" w:right="4740" w:hanging="4884"/>
        <w:spacing w:after="0" w:line="563" w:lineRule="auto"/>
        <w:tabs>
          <w:tab w:leader="none" w:pos="9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shareholders to sell shares after the initial public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or elsewhere.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 and we have little or no control over these factors.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the ordinary shares, our share price and trading volume could decline.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the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the ordinary shares, or provide more favorable relative recommendations about our competitors, the price of our ordinary shares would likely decline. If any analyst who may cover us were to cease coverage of our company or fail to regularly publish reports on us, we could lose visibility in the financial markets, which in turn could cause the price of our ordinary shares or trading volume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and intend, to follow certain home country corporate governance practices instead of otherwise applicable SEC and Nasdaq Capital Market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and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or proxy statements that comply with the requirements applicable to U.S. domestic reporting companies. Furthermore, although under regulations promulgated under the Companies Law, as an Israeli public company listed overseas we will be required to disclose the compensation of our five most highly compensated office holders on an individual basis (rather than on an aggregate basis), this disclosure will not be as extensive as that required of U.S. domestic reporting companies. We will also have four months after the end of each fiscal year to file our annual reports with the SEC and will not be required to file current reports as frequently or promptly as U.S. domestic reporting companies. Furthermore, our officers, directors and principal shareholders will be exempt from the requirements to report transactions and short-swing profit recovery required by Section 16 of the Exchange Act. Also, as a “foreign private issuer,” we are not subject to the requirements of Regulation FD (Fair Disclosure) promulgated under the Exchange Act. These exemptions and leniencies will reduce the frequency and scope of information and protections available to investors in comparison to those applicable to a U.S. domestic reporting companies.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a “foreign private issuer,” we are permitted to follow certain home country corporate governance practices instead of those otherwise required under the listing rules of the Nasdaq for domestic U.S. issuers. For instance, we follow home country practice in Israel instead of the listing rules of the Nasdaq requiring that a majority of a listed company’s board of directors be comprised of independent directors within a specified period after listing. In addition, we will follow our home country law instead of the listing rules of the Nasdaq that require that we obtain shareholder approval for certain dilutive events, such as the establishment or amendment of certain equity based compensation plans, an issuance that will result in a change of control of our company, certain transactions other than a public offering involving issuances of a 20% or greater interest in the company, and certain acquisitions of the stock or assets of another company. We may in the future elect to follow home country corporate governance practices in Israel with regard to other matters. Following our home country corporate governance practices as opposed to the requirements that would otherwise apply to a U.S. company listed on the Nasdaq may provide less protection to investors than what would otherwise be accorded to investors under the listing rules of the Nasdaq applicable to domestic U.S. issuers.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Israeli Law and Our Incorporation, Location and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executive office is located in Ra’anana, Israel. In addition, certain of our key employees, officers and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and terrorist organizations active in the region, including Hamas (an Islamist militia and political group in the Gaza Strip) and Hezbollah (an Islamist militia and political group in Lebanon).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in October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These attacks resulted in thousands of deaths and injuries, and Hamas additionally kidnapped many Israeli civilians and soldiers. As a result of the events of October 7, 2023, the Israeli government declared that the country was at war and the Israeli military began to call-up reservists for active duty. As of the date of this Annual Report on Form 20-F, one (1) of our employees is serving in active duty, who is not an executive or performs critical or exclusive functions. Military service call ups that result in absences of personnel from us for an extended period of time may materially and adversely affect our business, prospects, financial condition and results of operations.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the commencement of these events, there have been continued hostilities along Israel’s northern border with Lebanon (with the Hezbollah terror organization) and on other fronts from various extremist groups in the region, such as the Houthis in Yemen and various rebel militia groups in Syria and Iraq. Israel has carried out a number of targeted strikes on sites belonging to these terror organizations. In October 2024, Israel began limited ground operations against Hezbollah in Lebanon, and in November 2024, a ceasefire was brokered between Israel and Hezbollah. On January 19, 2025, a temporary ceasefire came into effect between Israel and Hamas, the result of which is uncertain. However, we cannot predict if and to what extent these ceasefires will remain in effect or upheld. In addition, Iran recently launched direct attacks on Israel involving hundreds of drones and missiles, has threatened to continue to attack Israel, and is widely believed to be developing nuclear weapons. Iran is also believed to have a strong influence among extremist groups in the region, such as Hamas in Gaza, Hezbollah in Lebanon, the Houthis in Yemen and various rebel militia groups in Syria and Iraq. These situations may potentially escalate in the future to more violent events which may affect Israel and us. Any hostilities, armed conflicts, terrorist activities involving Israel or the interruption or curtailment of trade between Israel and its trading partners, or any political instability in the region could adversely affect business conditions and our results of operations and could make it more difficult for us to raise capital and could adversely affect the market price of our ordinary shares. An escalation of tensions or violence might result in a significant downturn in the economic or financial condition of Israel, which could have a material adverse effect on our operations in Israel and our business.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the war broke out on October 7, 2023, our operations have not been adversely affected by this situation, and we have not experienced disruptions to our business operations. As such, our product and business development activities remain on track. However, the intensity and duration of Israel’s current war against Hamas is difficult to predict at this stage, as are such war’s economic implications on our business and operations and on Israel’s economy in general, and we continue to monitor the situation closely and examine the potential disruptions that could adversely affect our operations. If the ceasefires declared collapse or a new war commences or hostilities expand to other fronts, our operations may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assure you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functional and reporting currency is the U.S. dollar. A material portion of our operating expenses is incurred outside the United States, mainly in NIS, and is subject to fluctuations due to changes in foreign currency exchange rates, particularly changes in NIS. Our foreign currency-denominated expenses consist primarily of personnel, rent and other overhead costs. Since a significant portion of our expenses is incurred in NIS, any appreciation of the NIS relative to the U.S. dollar would adversely impact our net loss or net income, as relevant. We are therefore exposed to foreign currency risk due to fluctuations in exchange rates. This may result in gains or losses with respect to movements in exchange rates which may be material and may also cause fluctuations in reported financial information that are not necessarily related to its operating results. In relation to the effect of inflation, results for tax purposes are measured in terms of earnings in NIS after certain adjustments for increases in the Israeli Consumer Price Index, or CPI. As the results in our financial statements are measured in U.S. dollars, the difference between the annual change in the Israeli CPI and in the NIS/U.S. dollar exchange rate can cause a difference between taxable income and the net loss shown in the financial statements. We expect that the majority of our revenues will be generated in U.S. dollars with the balance in EURO for the foreseeable future, and that a significant portion of our expenses will continue to be denominated in NIS and partially in U.S. dollars and EURO. To date, foreign currency transaction gains and losses and exchange rate fluctuations have not been material to our financial statements, and we have not engaged in any foreign currency hedging transactions.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company incorporated under the law of the State of Israel, we are subject to Israeli law. 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and a majority of the offerees that do not have a personal interest in the tender offer approves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Israeli tax considerations also may make potential transactions unappealing to us or to our shareholders whose country of residence does not have a tax treaty with Israel exempting such shareholders from Israeli tax.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may be subject to certain restrictions and additional terms. Moreover, with respect to certain share swap transactions, the tax deferral is limited in time, and when such time expires, the tax becomes payable even if no disposition of the shares has occurred. See “Taxation—Israeli Tax Considerations and Government Programs” for additional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a holder of our securities are governed by Israeli law, which differs in some material respects from the rights and responsibilities of shareholders of U.S. companies.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the holders of our ordinary shares are governed by our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In addition, a controlling shareholder or a shareholder who knows that it possesses the power to determine the outcome of a shareholder vote or to appoint or prevent the appointment of an officer of the company has a duty to act in fairness towards the company with regard to such vote or appointment. However, Israeli law does not define the substance of this duty of fairness. There is limited case law available to assist us in understanding the nature of this duty or the implications of these provisions. These provisions may be interpreted to impose additional obligations on holders of our ordinary shares that are not typically imposed on shareholders of U.S. corporations. See “Item 6.C.—Directors, Senior Management and Employees—Board Practices—Duties of Shareholders” for additional information.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were incorporated in Israel and our corporate headquarters are located in Israel. All of our executive officers and directors and the Israeli experts named in this Annual Report are located outside of the U.S. All of our assets and most of the assets of these persons are located in Israel.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as a result of the obligation of management or key personnel to perform military service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employees and consultants in Israel, including members of our senior management, may be obligated to perform one month, and in some cases longer periods, of military reserve duty until they reach the age of 45 (or older, for citizens who hold certain positions in the Israeli armed forces reserves) and, in the event of a military conflict or emergency circumstances, may be called to immediate and unlimited active duty. In the event of severe unrest or other conflict, individuals could be required to serve in the military for extended periods of time.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related to military service. Such disruption could materially adversely affect our business and operations. Additionally, the absence of a significant number of the employees of our Israeli suppliers and contractors related to military service or the absence for extended periods of one or more of their key employees for military service may disrupt their operations.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for any reason to meet the continued listing requirements of Nasdaq, such action or inaction could result in a delisting of our ordinary shares.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previously disclosed, on March 6, 2025, we received an initial notification letter from Nasdaq’s Listing Qualifications Department notifying us that we had 180 days to regain compliance with the minimum bid price requirement set forth in Nasdaq’s continued listing rules. Nasdaq’s continued listing rules require that listed securities maintain a minimum bid price of $1.00 per share, and that a failure to meet the minimum bid price requirement exists if the deficiency continues for a period of 30 consecutive business days or more. We have until September 2, 2025, to regain compliance with the minimum bid price requirement in order to maintain the listing. To regain compliance with the minimum bid price requirement, our ordinary shares must have a closing bid price of at least $1.00 for a minimum of 10 consecutive business days. In the event that we do not regain compliance by September 2, 2025, we may then be eligible for additional 180 days if we meet the continued listing requirement for market value of publicly held shares and all other initial listing standards for the Nasdaq, with the exception of the bid price requirement, and will need to provide written notice of our intention to cure the deficiency during the second compliance period. If we do not qualify for the second compliance period or fail to regain compliance during the second compliance period, then Nasdaq will notify us of its determination to delist our ordinary shares, at which point we will have an opportunity to appeal the delisting determination to a hearings panel.</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minimum closing bid price requirement, Nasdaq may take steps to delist our ordinary shares. Such a delisting would likely have a negative effect on the price of our ordinary shares and would impair your ability to sell or purchase our ordinary shares when you wish to do so. In the event of a delisting, we can provide no assurance that any action taken by us to restore compliance with listing requirements would allow our ordinary shares to become listed again, stabilize the market price or improve the liquidity of our ordinary shares, prevent our ordinary shares from dropping below the Nasdaq minimum bid price requirement or prevent future non-compliance with Nasdaq’s listing requirements.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additional costs as a result of being a public company subject to SEC reporting requirements in the United States, and our management is required to devote substantial additional time to new compliance initiatives as well as to compliance with ongoing United States reporting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U.S. public reporting company, we are incurring significant additional accounting, legal, and other expenses in the future. Our management and other personnel need to devote substantial time to the compliance requirements of being a U.S. public company; in addition, the implementation of such compliance processes and systems may require us to hire outside consultants and incur other significant costs. Any future changes in the laws and regulations affecting public companies in the United States and the rules and regulations adopted by the SEC and the Nasdaq Market,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if any, or as senior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in the public market by our existing shareholders could cause our share price to fall.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or the issuance of additional equity securities would cause dilution to our existing shareholders and may affect the rights of existing shareholders or the market price of our ordinary shares.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collaborations and strategic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authorized share capital consists of 100,000,000 ordinary shares, no par value. As of March 30, 2025, we had 51,988,188 ordinary shares issued and outstanding. As of March 30, 2025, we also had warrants to purchase 2,289,943 ordinary shares outstanding, options to purchase 179,638 ordinary shares outstanding, of which 138,484 are currently vested and 2,565,519 restricted share units, or RSUs. Our board of directors may issue, or reserve for issuance, an additional 42,976,812 ordinary shares, which might dilute your holdings substantially.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ordinary shares are issued or options and warrants are exercised, holders of our ordinary shares will experience dilution. In addition, in the event of any future issuances of equity securities or securities convertible into or exchangeable for ordinary shares, holders of our ordinary shares may experience dilution. We also consider from time to time various strategic alternatives that could involve issuances of additional ordinary shares, including but not limited to acquisitions and business combinations, but do not currently have any definitive plan to enter into any such transaction.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ordinary shares, our ordinary shares price and trading volume could decline.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ordinary shares, or provide more favorable relative recommendations about our competitors, our ordinary shares price would likely decline. If any analyst who may cover us were to cease coverage of our company or fail to regularly publish reports on us, we could lose visibility in the financial markets, which in turn could cause our ordinary shares price or trading volume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early commercialization stage technology company that is seeking to revolutionize railway safety and the data-related market. We believe we have developed cutting edge, AI based, industry-leading detection technology specifically designed for railways. We have developed our railway detection and systems to save lives, increase efficiency, and dramatically reduce expenses for the railway operator.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Israel in April 2016. Our principal executive offices are located at 15 Hatidhar St. Ra’anana, 4366517 Israel. Our telephone number in Israel is +972-9-957-7706. Our website address is http://www.railvision.io/. Information contained on or accessible through our website is not a part of this Annual Report on Form 20-F, and the inclusion of our website address herein is an inactive textual reference only. Puglisi &amp; Associates, or Puglisi, serves as our authorized representative in the United States for certain limited matters. Puglisi’s address is 850 Library Avenue, Newark, Delaware 19711.</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http://sec.gov. We use our website (http://www.railvision.io), LinkedIn (https://www.linkedin.com/company/rail-vision), and Facebook (https://www.facebook.com/railvision.io) as channels of distribution of Company information. The information we post through this channel may be deemed material. Accordingly, investors should monitor our website, in addition to following our press releases, SEC filings and public conference calls and webcasts. The contents of our website are not, however, a part of this Annual Report on Form 20-F.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implemented under the JOBS Act. As such, we are eligible to, and intend to, take advantage of certain exemptions from reporting requirements that generally apply to public companies, including the auditor attestation requirements with respect to internal control over financial reporting under Section 404 of the Sarbanes-Oxley Act, compliance with new standards adopted by the Public Company Accounting Oversight Board which may require mandatory audit firm rotation or auditor discussion and analysis, exemption from say on pay, say on frequency, and say on golden parachute voting requirements, and reduced disclosure obligations regarding executive compensation in our periodic reports and proxy statements. We will be an emerging growth company until the earliest of: (i) the last day of the fiscal year during which we had total annual gross revenues of $1.07 billion or more, (ii) the last day of the fiscal year following the fifth anniversary of the date of the first sale of the ordinary shares pursuant to an effective registration statement (i.e., December 31, 2027), (iii) the date on which we have, during the previous three-year period, issued more than $1 billion in non-convertible debt, or (iv) the date on which we are deemed a “large accelerated filer” as defined in Regulation S-K under the Securities Act, which means the market value of our ordinary shares that is held by non-affiliates exceeds $700 million as of the prior June 30th.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from certain rules and regulations under the Exchange Act that are applicable to other public companies that are not foreign private issuers.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 with the SEC and will not be required to file current reports as frequently or promptly as U.S. domestic reporting companies. Our senior management, directors, and principal shareholders will be exempt from the requirements to report transactions in our equity securities and from the short-swing profit liability provisions contained in Section 16 of the Exchange Act. As a foreign private issuer, we will also not be subject to the requirements of Regulation FD (Fair Disclosure) promulgated under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early commercialization stage technology company that is seeking to revolutionize railway safety and the data-related market. We believe we have developed cutting edge, AI based, industry-leading detection technology specifically designed for railways. We have developed our railway detection and systems to save lives, increase efficiency, and dramatically reduce expenses for the railway operator.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our founding in April 2016, we have developed unique railway detection systems for railway safety, based on image processing and deep leaning technologies that provide early warnings to train driver of hazards on and around the railway track, including during severe weather and in all lighting conditions. Our unique system uses special high resolution cameras to identify objects up to 2,000 meters away, along with a computer unit that uses AI machine learning algorithms to analyze the images, identify objects on or near the tracks, and warn the train driver of the obstacle and potential danger. In 2017, we were recognized as the winner of Deutche Banh’s MINDBOX competition for our automated early warning systems to prevent railway accidents.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railway detection system includes different types of cameras, including optics, visible light spectrum cameras (video) and thermal cameras that transmit data to a ruggedized on-board computer which is designed to be suitable for the rough environment of a train’s locomotive. Our railway detection and classification system includes an image-processing and machine-learning algorithm that processes the data for identifying potential hazards on and around the track. These algorithms are designed to identify and classify objects such as people, animals, vehicles, signs, signals along the track, and anomalies. Our railway detection system actively classifies objects by severity to determine if an alarm should be signaled to the train driver. These data collection and classification capabilities can be extended to further use-cases such as predictive maintenance and big-data analyses.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technology demonstrates capabilities and results that are better than existing solutions. Most of the currently available safety solutions for the railway industry focus on stationary systems in dedicated hazardous locations, such as at level track crossings and passenger train stations, among others. At these dedicated locations, different technologies are used for detecting obstacles that are on the vicinity of level crossing tracks, and usually include different cameras and radars. The problem with this type of solution is that the train is only monitored at specific points in the railroad junction, leaving the vast majority of the railway unprotected. In addition, even when detected something on the level crossing tracks, the message has to be transmitted in a way that the driver would be able to react on time. In recognition of the limitations of existing solutions, we integrate a collision avoidance system using long-range real-time AI and electro-optics technologies on trains that is designed to address this unmet need. as well as providing solutions to most of the challenges train operators face during transit such as collisions, derailments and other accidents caused by obstacles on tracks, or poor infrastructure.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increasing electrification and automation of railways and trains are two key factors that are driving growth in the transportation market. Autonomous trains are integrated with advanced systems to provide improved control over the train for stopping, departing and movement between train stations – for example the operators are aiming to increase the density on a given track that’s to say more trains per kilometer. From everyday passengers to train operators, there is a rising demand for safe, secure, and efficient transport systems. Additionally, various technological advancements, such as the integration of the Internet of Things, or IoT, and artificial intelligence, or AI, solutions into railway detection systems, are market categories expected to grow in the coming years. These technologies aid in improving the overall operational efficiency and maintaining freight operations and systems.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Autonomous trains, also known as driverless trains, are operated automatically without any human intervention, and are monitored from the control station when communication is available. In case of any obstacle incurred in the route, the obstacle detection system commands the train to stop and in parallel a message is sent to operational control center and to the attendant on the train if any, to further command the train. Owing to increase in traffic congestion on road network, the need for smart and frequent trains has boosted the growth of the global market. According to Grand View Research, as of 2023, the global market autonomous train market size was estimated to be valued at $9.82 billion and is expected to grow at a compound annual growth rate (CAGR) of 5.9% from 2024 to 2030 reaching over $15.0 billion.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railway detection systems are currently under a couple of projects of equipping each customer with up to 10 systems each and in a pilot phases with several industry leading railway operators, as we seek to move to the next stage of receiving commercial roll out orders.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Market Traction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a long-term pilot with Israel Railways that was concluded in August 2022, in January 2023, we signed an agreement with Israel Railways for the purchase of 10 Rail Vision Main Line Systems, which installation started in February 2024. The first deliveries of the systems were completed in 2024, and in December 2024, we received certification approval for the installation of our MainLine Systems on Israel Railways’ passenger locomotives and drive cabins.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we received a $500,000 purchase order for a single Main Line System and related services from a leading Latin American mining company, which was delivered to the customer in December 2023. The customer began a long-term pilot soon after installation was completed in July 2024.</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a successful six-month long-term pilot with a US-based rail and leasing services company, in January 2024, we signed a supply contract with this customer valued at up to $5,000,000 (USD) for the purchase our AI-based Switch Yard Systems. The first phase of the contract was valued at $1,000,000 (USD), and accordingly the Company received an initial purchase order for its Shunting Yard systems amounting to approximately $1,000,000 in April 2024. Follow-on orders for additional Switch Yard Systems, valued at up to $4,000,000, are subject to customer approval. The contract also includes specific purchase quotas that, if met, provide the customer with exclusivity in the North American industrial railyards switching segment.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2024 we received an order for our Switch Yard System from a Class 1 freight rail company in the United States, and in June 2024, we completed the successful installation of our Switch Yard System Class 1 for this customer who will use the system on its locomotive for evaluation in different scenarios related to safety and efficiency.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we received an order for our Switch Yard System from Loram, a leading US- based provider of railway track maintenance equipment and services, and in June 2024, we completed the successful delivery and installation, which marked the beginning of a pilot project aimed at enhancing Loram’s rail track maintenance operations with our advanced technology.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2025, we received a purchase order for our Main Line product from one of the leading Central American freight rail operators, known for its commitment to safety and technological modernization.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January 2025, we signed a Memorandum of Understanding (MOU) with Sujan Ventures, a division of the esteemed Sujan Group, a premier technology and components supplier to the Indian rail industry. This collaboration aims to position our innovative technologies for inclusion in future tenders and ongoing projects to enhance rail safety in India.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Industry Overview and Market Opportunity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Transparency Market Research Company’s, the global driver assistance systems for locomotives market is experiencing significant growth, with a projected compound annual growth rate (CAGR) of 4.24% from 2024 to 2034. The market, valued at $9.5 billion in 2023, is expected to reach $15.1 billion by 2034, showcasing a robust and expanding opportunity for advanced detection and assistance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123190</wp:posOffset>
            </wp:positionV>
            <wp:extent cx="3831590" cy="2108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3159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Source: Transparency Market Research Company’s market research named “The Global Market for Driver Assistance Systems in Locomotives”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growth aligns with Rail Vision’s strategic focus on leveraging AI-driven systems to meet the increasing demand for safety, efficiency, and predictive maintenance solutions. As the market evolves, Rail Vision’s product portfolio aims to position itself to capitalize on this trajectory, offering innovative solutions that exceed current industry standards and address critical operational challenges.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evolving market dynamics in driver assistance systems highlight a gradual shift toward higher levels of automation. While Level 1 (Driver Assistance) and Level 2 (Partial Automation) are expected to see market share declines by 2034, Level 3 (Conditional Automation) and Level 4 (High Automation) are poised for significant growth, with market shares increasing by 148 and 385 basis points, respectively. This trend underscores the growing demand for more sophisticated solutions that bridge current operational needs with the future of autonomous rail systems. One of the reasons for that is the shortage in human resources in the industry. For example, Germany’s rail sector explicitly links driverless automation to workforce shortages. In May 2024, Deutsche Bahn’s Digitale Schiene initiative stated that “for many railway undertakings (RUs), it is becoming increasingly important to operate trains with fewer staff. Fully automated, driverless driving provides an answer to this”, noting that an aging workforce and more retirements are causing “train cancellations due to a lack of staff – especially train drivers” and that “fully automated, driverless driving offers a technical solution to this problem”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133350</wp:posOffset>
            </wp:positionV>
            <wp:extent cx="4003040" cy="2888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030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Source: Transparency Market Research Company’s market research named “The Global Market for Driver Assistance Systems in Locomotives”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Rail Vision’s unique ability to deliver solutions across the full spectrum of autonomy, from Level 1 to Level 5 positions the company to capitalize on this shift. With advanced AI-driven systems tailored for safety and operational efficiency, Rail Vision is well-equipped to meet the demands of an industry transitioning toward high automation while maintaining relevance in existing driver-assistance applications.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trends indicate a significant shift in demand across train types, with suburban and long-distance freight and passenger trains becoming increasingly critical growth areas. The market share for suburban trains is projected to rise from 23.0% in 2024 to 25.2% in 2034, while long-distance trains remain a significant segment despite a slight decrease in market share from 25.3% to 21.2%. This reflects the growing need for safe and efficient rail operations in both regional and intercity networks to support economic and population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125730</wp:posOffset>
            </wp:positionV>
            <wp:extent cx="5143500" cy="3223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Source: Transparency Market Research Company’s market research named “The Global Market for Driver Assistance Systems in Locomotives”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Rail Vision’s advanced detection systems, designed specifically for long-distance freight and passenger trains as well as shunting yard operations, uniquely position the company to address these evolving market demands. By delivering enhanced safety, improved operational efficiency, and tailored solutions for these key segments, Rail Vision is strategically aligned to capitalize on industry trends and contribute to the modernization of global rail networks.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steady growth of optical sensors and cameras, with market share increasing from 34.0% in 2024 to 34.9% in 2034, aligns seamlessly with Rail Vision’s advanced vision detection systems. By leveraging high-resolution optical sensors and AI-driven algorithms, Rail Vision ensures unparalleled accuracy and reliability for both long-distance freight and passenger trains, as well as shunting yard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3171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Source: Transparency Market Research Company’s market research named “The Global Market for Driver Assistance Systems in Locomotives”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market share for infrared sensors is projected to decline from 8.8% to 7.5%, Rail Vision’s strategic integration of thermal imaging alongside optical sensors continues to provide an unmatched solution for low-visibility environments and nighttime operations, enhancing safety and efficiency across its product lines.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railway is an essential form of transportation. Efficient and safe railway infrastructure plays a central role in the global economy. The process of expanding and upgrading railways is taking place worldwide, driving the importance to produce safe and reliable railway infrastructure. A lack of safety and inefficiency may reduce the reliability of train travel, decrease public usage and cause economic damage, including heavier road traffic, more air pollution, and diminish to the quality of life in general.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trends of integrating ADAS and autonomous technology in locomotives is impacted by demand-side trends, such as increased safety awareness and a focus on operational efficiency, as well as supply-side trends, such as technological advancements and collaborative partnerships.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Demand-Side Trends: </w:t>
      </w:r>
      <w:r>
        <w:rPr>
          <w:rFonts w:ascii="Times New Roman" w:cs="Times New Roman" w:eastAsia="Times New Roman" w:hAnsi="Times New Roman"/>
          <w:sz w:val="18"/>
          <w:szCs w:val="18"/>
          <w:color w:val="auto"/>
        </w:rPr>
        <w:t>The rising emphasis on safety awareness and operational efficiency aligns perfectly with Rail Vision’s technology. Rail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operators are increasingly investing in systems that provide real-time situational awareness and predictive maintenance capabilities, both of which are core strengths of Rail Vision’s Main Line and Shunting Yard systems. This growing demand highlights the market’s shift toward prioritizing safety, reducing human error, and optimizing performance—objectives that Rail Vision directly addresses.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Supply-Side Trends: </w:t>
      </w:r>
      <w:r>
        <w:rPr>
          <w:rFonts w:ascii="Times New Roman" w:cs="Times New Roman" w:eastAsia="Times New Roman" w:hAnsi="Times New Roman"/>
          <w:sz w:val="18"/>
          <w:szCs w:val="18"/>
          <w:color w:val="auto"/>
        </w:rPr>
        <w:t>Technological advancements in AI, machine learning, and sensor technologies, as noted, are reshaping the Driver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Systems (DAS) market. Rail Vision leverages these advancements with its AI-driven detection and classification systems, providing enhanced obstacle detection and decision-making support. Additionally, Rail Vision’s strategic collaborations with leading rail operators and technology partners, such as Knorr-Bremse, reflect the increasing importance of partnerships in accelerating innovation and integration into existing rail infrastructures.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Railway accidents are generally attributed to several factors, such as the human factor, which include the driver’s failure to notice and respond to obstacles on the track, the driver’s ability to react to potential dangers, and the driver’s field of view, which gets worse in poor lighting or severe weather conditions. Other factors that cause railway accidents include faults in the railway track signaling system, damaged infrastructure, and weather conditions such as rain, fog and snow.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European Union Agency for Railways’ “Safety Overview 2023,” there were 1,389 significant railway accidents in the EU, resulting in 683 fatalities (excluding suicides) and 513 serious injuries. The economic cost of these significant accidents is estimated to be around €3.2 billion per annum.</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2023, the United States experienced a concerning rise in railroad-related fatalities, totaling 995 deaths—a 10% increase from the 2022 figure of 908 and marking the highest count since 2007. Nonfatal injuries also saw an uptick, reaching 6,705, a 3% increase from the previous year’s 6,513. Notably, fatalities at highway-rail crossings decreased by 9%, while deaths from other incidents, including trespassing, rose by 17%. Preliminary data from the Federal Railroad Administration (FRA) indicates that in 2023, there were 2,192 highway-rail grade crossing collisions, resulting in 247 fatalities and 766 injuries. These statistics underscore the persistent safety challenges within the U.S. rail system. In contrast, comprehensive and up-to-date railway accident data for Latin America remains limited, highlighting a need for improved reporting and transparency in the region. Rail Visons increased presence in Latin America has the potential to assist operators in improved reporting and transparency by collecting big data and statistics using our systems and presenting it to the operators using Rail Vision’s web application, which is described in the “Our Solutions” section below.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braking distance required for a train to stop, train operators require advanced notice to stop a train in time and avoid an obstacle on the track. The braking distance of a passenger train traveling at a moderate speed (i.e., 87 mi/h) is between 600 and 800 meters; freight trains typically require a similar distance to safely brake – depending on the load size and speed of the train. Human operators, however, do not have the capacity to detect obstructions on the railway track, and halt a train within these braking distances. Our advanced technology is designed to address this human deficiency.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railway detection system monitors the short and long-distance region of interest in front of the train, at an operational range of up to 2,000 meters (1.3 miles), which is longer than the braking distance of most trains. Our system is designed to detect, classify and alert train operators on real-time railway track obstacles, which allows the train operator to make educated decisions in how to best operate the train, and to decide whether it is necessary to stop to avoid a collision. Additionally, after being integrated into the train’s computer, our railway detection system’s artificial intelligence capabilities will facilitate by taking emergency autonomous actions, such as halting the train, braking once an obstacle is classified, sounding a horn and flashing lights to alert others.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several years, there has been an increased demand for automated solutions in railway detection systems to make train travel safer and more efficient. There are several technological systems available in the market today that have been designed to reduce the risk of railway accidents, to avoid injuries and damage to property, to limit unplanned closures of railway tracks, to make railway transport more efficient, and to increase the usage of existing railway infrastructure. Generally, such railway detection systems fall into two main categories – those which are installed on the train (such as our railway detection system), and those that are fixed signaling systems installed as part of the stationary infrastructure.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Current Train Vision Market Status and the Transition to Autonomous Train Vision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trains are equipped with certain advanced automated technologies to assist railway operators such as Automatic Train Control, or ATC, and Automatic Train Protection, or ATP. ATC is a general group of systems that include mechanisms for controlling a train’s speed in response to receiving external data. ATP is a system that, among other things, continuously verifies that the train’s speed complies with the permitted speed.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ATC and ATP systems, there are currently other available technologies for Automatic Train Operation, or ATO, which include components to promote safety and control all stages of operating the train, from acceleration to precision stopping. While there are various levels of implementation of ATO, the most common use of ATO is on underground railways. For example, the London Underground uses semi-automatic train operation on certain lines. The Light Railway in eastern London is even more advanced, and the driver’s cabin has been replaced by a controller.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ATO covers five Grades of Automation (GoA):</w:t>
      </w:r>
    </w:p>
    <w:p>
      <w:pPr>
        <w:spacing w:after="0" w:line="225"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0 refers to a train with a human driver who exercises full control of the train – starting, stopping, opening and closing doors, and operation in emergencies.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1 refers to operation where the driver controls starting and stopping the train, operation of doors, emergencies and sudden deviations, with the assistance of ATP systems.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2 refers to semi-automatic operation, where stopping is automatic, but the driver starts the train, operates the doors, and drives the train in emergencies.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3 refers to operation without a driver, where starting and stopping is automatic, but the controller operates the doors and drives the train in emergencies.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 4 refers to train operation without supervision; starting, stopping, door operation and operation in emergencies is all automatic with no staff on the train.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railway companies will gradually implement autonomous trains. While a full transition to autonomous trains will require the development of additional technologies beyond those currently available, we believe that our obstacle detection technology has the potential to advance GoA 3 and GoA 4.</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autonomous train vision being promoted worldwide, an automatic detection system will be required to enable train operators to detect obstacles in the train’s travel route beyond the braking distance of a train. An automatic detection system has about twice the human detection capabilities during the day, and much more at night. As part of our efforts to advance operating levels of GoA 3 and GoA 4, we are investing efforts in collaborations with train operators and train manufacturers to examine the integration of our railway detection systems within various trains. We focus on detection systems, whereby the additional auxiliary systems required for an autonomous train (ATC and ATP systems) will be provided by other manufacturers. Our railway detection system is a standalone product that does not require any supportive additional equipment. The interface with an ATO concept of operation can be done at a later time, since our railway detection system, once engaged, can be used regardless of the integration with other autonomous technologies. This is a major advantage for Rail Vision, as customers that will operate our systems, initially as a warning system to the driver, will keep the same Rail Vision system as they increase their level of automation up to full automation, eliminating the need to buy different sensors,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GoA 4 freight trains already operate in certain parts of the world (such as Rio Tinto Australia, and Iron Ore Canada). We believe that our railway detection systems are ideal for these trains, and part of our strategy is to engage and collaborate with the operators of these trains.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Beyond GoA 4 freight trains, there are some very specific environments where trains are operated without drivers and rely on signaling systems and a sterile testing environment, such as train lines in airports or underground train lines. Such autonomous lines are rare and can only be implemented if the conditions are precise. These types of trains require a safety infrastructure that is separate from the railway track in the external environment. This infrastructure is expensive to build and maintain, and therefore is not a viable option for most operators. While these types of trains are rare and not our main strategic focus, we do believe that our system will be ideal for these trains as well, as they require a solution that is installed on the train and capable of timely identifying potential hazards on and around the track.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Rail Vision long term strategy to penetrate the autonomous train market, in November 2024, Rail Vision unveiled an innovative Active Control System, enabling semi-autonomous locomotive capabilities. Developed in collaboration with a U.S. rail company, this system transitions from passive warning to active safety by directly controlling locomotive throttle and brakes, marking a significant step towards autonomous rail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December 2024, Rail Vision joined MxV Rail’s Technology Roadmap Program, a distinguished body responsible for formulating interoperable requirements to improve the safety and efficiency of rail operations in North America. This collaboration aims to enhance Rail Vision’s influence in the U.S. rail market and foster partnerships with key industry stakeholders.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According to Research And Markets, </w:t>
      </w:r>
      <w:r>
        <w:rPr>
          <w:rFonts w:ascii="Times New Roman" w:cs="Times New Roman" w:eastAsia="Times New Roman" w:hAnsi="Times New Roman"/>
          <w:sz w:val="18"/>
          <w:szCs w:val="18"/>
          <w:u w:val="single" w:color="auto"/>
          <w:color w:val="auto"/>
        </w:rPr>
        <w:t>the global autonomous train market is projected to witness significant growth, with estimates indicating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increase from USD 8.62 billion in 2024 to approximately USD 18.55 billion by 2030, driven by technological advancements and the demand for efficient and safe transportation solutions.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developments underscore the industry’s shift towards higher automation levels, with Rail Vision positioned at the forefront of providing advanced obstacle detection and autonomous operation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develop solutions for a number of verticals in the railway market:</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Main Line System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Main Line System is an application of our railway detection system for passengers and freight trains that travels on main line. The system includes an external sensor unit installed on the train along with an on-board computer system (see below). The on-board computer system receives data from the external sensor unit and uses artificial intelligence to perform algorithmic calculations in real time to identify potential hazards and alert the train operator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194935" cy="3480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94935"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railway detection system is designed to discover and warn the train operator about hazards of up to 2,000 meters (1.2 miles) ahead of the train. To detect hazards up to this distance, our railway detection system is dependent on a continuous line of sight that is not obscured by buildings, curves in the track, or dense fog which can limit the detection range.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braking distance of a train traveling at high speeds of about 160 KPH / 100 MPH is approximately 800 meters (0.5 miles). The Main Line System has been optimized to identify hazards at a distance more than 800 meters (0.5 miles) to provide the train operator with enough time to react to the hazard, and stop the train if necessary. The braking distance of the train may differ as a result of various factors, including weather conditions and the total weight of the train.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previously, our railway detection system can technically interface with the train’s control and monitoring systems, such as the brake system. This interface is achieved by setting up a communication interface between our railway detection system and the train’s existing operating system. However, interfacing with the brake system or other systems of a train may require, in specific regions, compliance with a more stringent level of train safety (SIL) than the current safety levels we are certified for, as of the date of this Annual Report.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railway detection system is designed to detect and classify objects, indict their location on the track and the distance from the locomotive, and detect the position of the switch. The switch is a device that is part of the railway track and is used to switch between two adjacent tracks or merge two tracks into one track. It is important to detect the position of the switch because the switch selects the train’s continued direction from the main track line on which the train is currently riding to another 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125730</wp:posOffset>
            </wp:positionV>
            <wp:extent cx="5160645" cy="3634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6064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Market traction of the Main line system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completed a homologation process of a driver assistance system on trains in a use-case of Main line (SIL-0 according to EN50126).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 advanced prototype of the Main Line System was completed and finalized its first field test phase with Israel Railways in March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a long-term pilot with Israel Railways that was concluded in August 2022, in January 2023, we signed an agreement with Israel Railways for the purchase of 10 Rail Vision Main Line Systems. The first deliveries of the systems were completed in the year of 2024, and in December 2024, we received certification approval for the installation of our MainLine Systems on Israel Railways’ passenger locomotives. We foresee that the remainder of the system will be installed by Mid 2025 The potential sales opportunity with Israel Railways for our Main Line System is for installations on up to 300 trains, and assuming we can negotiate bidirectional installation, the potential sale opportunity could be doubled to install up to 600 MainLine systems.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Rio Tinto Iron Ore, or RTIO, the world’s second-largest metals and mining corporation has engaged us to work on part of its AutoHaul autonomous train to improve train safety. RTIO has 60 operations in 35 countries, has 47,500 employees and 2,000 customers. The RTIO fleet is autonomous and does not have the technical capability to foresee any obstacles or anomalies in front of the moving train. As such, RTIO is exploring solutions that can detect, alert and respond to an obstacle on the tracks. In April 2021, we entered into an equipment, personnel and services supply agreement with Hitachi Rail STS Australia Pty Ltd., or STS, which enables STS, as the principal supplier, to supply Rio Tinto Railway Network with our MainLine system for demonstrations and to examine the MainLine system’s operational performance. The long-term pilot was concluded in August 2022. Following the completion of the long-term pilot, the company submitted a summary report of the pilot. As of today, we have not received any formal response from Rio Tinto relating to the next phase. To the best of our knowledge, the next phase of the project is a tender due to be published by in the second quarter of 2025 in which we expect to participate in.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17, 2023, we received a $500,000 purchase order for a single Main Line System and related services from a leading Latin American mining company, which was delivered to the customer during December 2023. The customer began long-term pilot soon after installation was completed in July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10, 2025, Rail Vision Ltd. received a purchase order for its Main Line product from a leading Central American freight operator. This order aims to support a proof of concept to demonstrate the system’s advanced capabilities in enhancing rail safety and operational efficiency through real-time object detection and classification driven by AI and long-range vision sensors.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7, 2025, Rail Vision signed a Memorandum of Understanding (MOU) with a leading Indian rail supplier to penetrate the Indian rail market. This strategic partnership aims to introduce Rail Vision’s advanced safety solutions to enhance the operational efficiency and safety of India’s vast railway network.</w:t>
      </w:r>
    </w:p>
    <w:p>
      <w:pPr>
        <w:spacing w:after="0" w:line="176" w:lineRule="exact"/>
        <w:rPr>
          <w:sz w:val="20"/>
          <w:szCs w:val="20"/>
          <w:color w:val="auto"/>
        </w:rPr>
      </w:pPr>
    </w:p>
    <w:p>
      <w:pPr>
        <w:ind w:left="820" w:hanging="17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Shunting Yard System</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Shunting Yard System used at the shunting yard is meant to streamline work in the operational areas of railways (shunting yards) which are used for the assembly, disassembly loading and unloading of freight trains.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shunting yard application of the railway detection system consists of two external sensor units installed on either side of the locomotive that are linked to the central processing unit inside the train, and uses algorithms, artificial intelligence/deep learning neural nets, to classify these obstacles in real time, at a range of up to 200 meters on and beside the track, under severe weather and poor visibility conditions. These real time warnings are shown to the driver with some recommendations to stop or slow down. The system also has the technical ability to interface with the locomotive’s control systems, such as the train’s brakes. This is done by setting up a communication interface with existing systems in the train and doing so in accordance with the customer’s requirements. However, interfacing with the brakes or other systems in the locomotive requires compliance with a stricter Safety Integrity Level (SIL) than the levels for which we have currently obtained certification (SIL 0). Rail Vision has completed a homologation process of a drive assist system on trains in a use-case of Switch Yard (SIL-0 according to EN50126).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133350</wp:posOffset>
            </wp:positionV>
            <wp:extent cx="5349240" cy="3051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Market traction of the Shunting Yard system</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2023, a leading US-based rail and leasing services company purchased a Switch Yard System and evaluated its performance during a six-month trial that was completed in September 2023, for a total amount of $140,000 including technical support services, during the six-month trial.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2024, we signed a supply contract with this customer valued at up to $5,000,000 for the purchase our AI-based Switch Yard Systems. The first phase of the contract was valued at $1,000,000. Follow-on orders for additional Switch Yard Systems, valued at up to $4,000,000, are subject to customer approval. The contract also includes specific purchase quotas that, if met, provide the customer with exclusivity in the North American industrial railyards switching segment. In April 2024, the Company received an initial purchase order for the Company’s Shunting Yard systems amounting to approximately $1,000,000, as part of this contract. The contract also includes specific purchase quotas that, if met, provide the customer with exclusivity in the North American industrial railyards switching segment. In June 2024, the Company received follow-on orders from this customer in a total amount of approximately $200,000 which is in addition to the existing contract and refers to additional services requested by the customer.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2024 we received an order for our Switch Yard System from a Class 1 freight rail company in the United States. The freight rail company, which is one of the largest in North America, will install and use the system on its locomotive for evaluation and testing different scenarios related to safety. In June 2024, we completed the successful installation of our Switch Yard System Class 1 freight rail company in the United States who will use the system on its locomotive for evaluation in different scenarios related to safety and efficiency.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we received an order for our Switch Yard System from Loram, a leading US- based provider of railway track maintenance equipment and services, and in June 2024, we completed the successful delivery and installation, which marked the beginning of a pilot project aimed at enhancing Loram’s rail track maintenance operations with our advanced technology. Rail vision and Loram will consider an expansion of this product, further integrating our innovative solutions into Loram’s rail vehicles across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3677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hanging="17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D.A.S.H. SaaS Platform</w:t>
      </w:r>
    </w:p>
    <w:p>
      <w:pPr>
        <w:spacing w:after="0" w:line="225"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Introduced in December 2024, the D.A.S.H. (Discover, Analyze, Secure, Harness) SaaS platform is a cloud-based solution designed to complement Rail Vision’s AI-driven Main Line and Shunting Yard systems. This platform empowers rail operators with actionable insights and comprehensive reports, enhancing decision-making and streamlining operations.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Key Features of the D.A.S.H. solution include:</w:t>
      </w:r>
    </w:p>
    <w:p>
      <w:pPr>
        <w:spacing w:after="0" w:line="225" w:lineRule="exact"/>
        <w:rPr>
          <w:sz w:val="20"/>
          <w:szCs w:val="20"/>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 D.A.S.H. integrates effortlessly with existing and future big data platforms from other sensors, creating a synergistic environment for data analysis and operational efficiency.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Decision-Making: By leveraging advanced detection capabilities and robust safety measures, the platform enables operators to make informed decisions, ensuring safety and operational efficiency.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Streamlining: The platform’s comprehensive data analysis and reporting tools assist in optimizing operations, reducing downtime, and lowering operational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The introduction of D.A.S.H. represents Rail Vision’s holistic approach to transforming rail operations through big data and technology, aiming to provide rail operators with the tools needed to overcome challenges, ensure safety, and achieve greater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251460</wp:posOffset>
            </wp:positionV>
            <wp:extent cx="5143500" cy="2991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Marketing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vision is to become a global leading developer and supplier of innovative railway detection technologies to the railway industry. Our offerings range from driver warning systems all the way solutions to autonomous solutions. We believe that our advanced technologies will enable safer train driving, reduce train accidents, increase the flow of traffic, and save money for our customers. We also believe that the transition to autonomous train driving will not occur without an advanced detection system such as ours.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focus on the following three main segments of the market as described above:</w:t>
      </w:r>
    </w:p>
    <w:p>
      <w:pPr>
        <w:spacing w:after="0" w:line="223" w:lineRule="exact"/>
        <w:rPr>
          <w:sz w:val="20"/>
          <w:szCs w:val="20"/>
          <w:color w:val="auto"/>
        </w:rPr>
      </w:pPr>
    </w:p>
    <w:p>
      <w:pPr>
        <w:jc w:val="both"/>
        <w:ind w:left="980" w:hanging="324"/>
        <w:spacing w:after="0" w:line="267" w:lineRule="auto"/>
        <w:tabs>
          <w:tab w:leader="none" w:pos="9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Locomotives for shunting yards </w:t>
      </w:r>
      <w:r>
        <w:rPr>
          <w:rFonts w:ascii="Times New Roman" w:cs="Times New Roman" w:eastAsia="Times New Roman" w:hAnsi="Times New Roman"/>
          <w:sz w:val="18"/>
          <w:szCs w:val="18"/>
          <w:color w:val="auto"/>
        </w:rPr>
        <w:t>– We have focused on selling the ShuntingYard system to shunting yard operators. Our railway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for this market segment is at a relatively advanced stage, with a number of recent customer orders and pilot projects in the United States, including:</w:t>
      </w:r>
    </w:p>
    <w:p>
      <w:pPr>
        <w:spacing w:after="0" w:line="175" w:lineRule="exact"/>
        <w:rPr>
          <w:rFonts w:ascii="Times New Roman" w:cs="Times New Roman" w:eastAsia="Times New Roman" w:hAnsi="Times New Roman"/>
          <w:sz w:val="18"/>
          <w:szCs w:val="18"/>
          <w:i w:val="1"/>
          <w:iCs w:val="1"/>
          <w:color w:val="auto"/>
        </w:rPr>
      </w:pPr>
    </w:p>
    <w:p>
      <w:pPr>
        <w:jc w:val="both"/>
        <w:ind w:left="1300" w:hanging="320"/>
        <w:spacing w:after="0" w:line="258"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follow-on order from a leading US-based rail and leasing services company. We have signed a contract valued at up to $5 million for ShuntingYard products. In April 2024, we received an initial purchase order amounting to approximately $1 million as part of the contract, with the additional $4 million of follow-on orders subject to customer approval. In addition, in June 2024, the Company received follow-on orders from this customer in a total amount of approximately $200,000 which is in addition to the existing contract and refers to additional services requested by the customer.</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successful delivery and installation of our AI-driven Shunting Yard product to Loram, a leading US-based provider of railway track maintenance equipment and services. This installation fulfills a purchase order announced in April 2024, and marks the beginning of a pilot project aimed at enhancing Loram’s rail track maintenance operations with Rail Vision’s advanced technology. Pending a successful pilot completion, the two companies will consider an expansion of this product, further integrating Rail Vision’s innovative solutions into Loram’s rail vehicles across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644" w:right="20" w:hanging="320"/>
        <w:spacing w:after="0" w:line="282" w:lineRule="auto"/>
        <w:tabs>
          <w:tab w:leader="none" w:pos="6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successful installation of our AI-driven ShuntingYard product for a class 1 freight rail US-based company.The North American Class 1 rail company will use the system on its locomotive for evaluation in different scenarios related to safety and efficiency.</w:t>
      </w:r>
    </w:p>
    <w:p>
      <w:pPr>
        <w:spacing w:after="0" w:line="159"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Locomotives for passenger and freight trains </w:t>
      </w:r>
      <w:r>
        <w:rPr>
          <w:rFonts w:ascii="Times New Roman" w:cs="Times New Roman" w:eastAsia="Times New Roman" w:hAnsi="Times New Roman"/>
          <w:sz w:val="18"/>
          <w:szCs w:val="18"/>
          <w:color w:val="auto"/>
        </w:rPr>
        <w:t>– Our strategic focus on this market segment derives from the fact that it includes the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trains, and that the trains operating in this market segment are exposed to serious risks and the realistic probability for potentially fatal accidents. We invest significant efforts in promoting sales to passenger and freight train operators. The sales processes for this market segment includes a demonstration of the system’s capabilities according to specific requirements of each train operator. In addition, we are engaged in the process of licensing systems that are intended for this market segment on the assumption that obtaining a permit in one country may significantly facilitate the licensing process in another country.</w:t>
      </w:r>
    </w:p>
    <w:p>
      <w:pPr>
        <w:spacing w:after="0" w:line="184" w:lineRule="exact"/>
        <w:rPr>
          <w:rFonts w:ascii="Times New Roman" w:cs="Times New Roman" w:eastAsia="Times New Roman" w:hAnsi="Times New Roman"/>
          <w:sz w:val="18"/>
          <w:szCs w:val="18"/>
          <w:i w:val="1"/>
          <w:iCs w:val="1"/>
          <w:color w:val="auto"/>
        </w:rPr>
      </w:pPr>
    </w:p>
    <w:p>
      <w:pPr>
        <w:ind w:left="324" w:hanging="324"/>
        <w:spacing w:after="0" w:line="282" w:lineRule="auto"/>
        <w:tabs>
          <w:tab w:leader="none" w:pos="324"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railway detection system for this market segment is at a relatively advanced stage, with a number of recent customer orders and pilot projects worldwide, including:</w:t>
      </w:r>
    </w:p>
    <w:p>
      <w:pPr>
        <w:spacing w:after="0" w:line="161" w:lineRule="exact"/>
        <w:rPr>
          <w:rFonts w:ascii="Times New Roman" w:cs="Times New Roman" w:eastAsia="Times New Roman" w:hAnsi="Times New Roman"/>
          <w:sz w:val="18"/>
          <w:szCs w:val="18"/>
          <w:i w:val="1"/>
          <w:iCs w:val="1"/>
          <w:color w:val="auto"/>
        </w:rPr>
      </w:pPr>
    </w:p>
    <w:p>
      <w:pPr>
        <w:jc w:val="both"/>
        <w:ind w:left="644" w:hanging="320"/>
        <w:spacing w:after="0" w:line="266" w:lineRule="auto"/>
        <w:tabs>
          <w:tab w:leader="none" w:pos="6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signed a contract with Israel Railways to supply 10 systems. The first deliveries of the systems were completed in 2024, and in December 2024, we received certification approval for the installation of our MainLine Systems on Israel Railways’ passenger locomotives.</w:t>
      </w:r>
    </w:p>
    <w:p>
      <w:pPr>
        <w:spacing w:after="0" w:line="175"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 MainLine system to a leading Latin American (LATAM) mining company. In addition to the delivery of the system, Rail Vision is providing supervision, guidance, and training services as part of the purchase order.</w:t>
      </w:r>
    </w:p>
    <w:p>
      <w:pPr>
        <w:spacing w:after="0" w:line="161" w:lineRule="exact"/>
        <w:rPr>
          <w:rFonts w:ascii="Times New Roman" w:cs="Times New Roman" w:eastAsia="Times New Roman" w:hAnsi="Times New Roman"/>
          <w:sz w:val="18"/>
          <w:szCs w:val="18"/>
          <w:color w:val="auto"/>
        </w:rPr>
      </w:pPr>
    </w:p>
    <w:p>
      <w:pPr>
        <w:jc w:val="both"/>
        <w:ind w:left="644" w:hanging="320"/>
        <w:spacing w:after="0" w:line="256" w:lineRule="auto"/>
        <w:tabs>
          <w:tab w:leader="none" w:pos="6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announced a purchase order for Rail Vision MainLine product from one of the leading Central America freight operators. This purchase order will support a proof of concept (POC) aimed at demonstrating the MainLine’s advanced capabilities in enhancing rail safety and operational efficiency. The freight operator operates a vast fleet of locomotives across extensive rail networks. Known for its commitment to safety and technological modernization, the freight operator has invested significantly in upgrading its infrastructure, implementing efficient scheduling systems and adopting advanced safety protocols to minimize accidents and environmental risks.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strategic focus is reflected in our marketing strategy:</w:t>
      </w:r>
    </w:p>
    <w:p>
      <w:pPr>
        <w:spacing w:after="0" w:line="225" w:lineRule="exact"/>
        <w:rPr>
          <w:sz w:val="20"/>
          <w:szCs w:val="20"/>
          <w:color w:val="auto"/>
        </w:rPr>
      </w:pPr>
    </w:p>
    <w:p>
      <w:pPr>
        <w:jc w:val="both"/>
        <w:ind w:left="324" w:hanging="324"/>
        <w:spacing w:after="0" w:line="266"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increase our marketing and sales efforts to reach more potential customers. Increasing our sales and marketing efforts will enable us to initiate and create additional opportunities while the sales and marketing personnel focus on and specialize in the territories that our strategy defines as most relevant.</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focused on the following markets: North America, Latin America and Israel. The reason for the focus on these markets stems from an analysis we conducted to identify the most relevant countries likely to adopt our railway detection systems. We have defined several parameters which may indicate commercial viability of the market relevant to our railway detection systems. The parameters examined by us included, among other things, the total length of the railway tracks in the country examined, the number of passengers per kilometer/ mile of track traveled, the number of tons of goods per kilometer/ mile of track transported, the total number of trains in the country, the level of innovation in the country, and the openness to integrate new technologies.</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the Indian market through a Memorandum of Understanding (MOU) with Sujan Ventures, a division of the Sujan Group, a key supplier to Indian Railways. This partnership aims to introduce Rail Vision’s advanced safety systems to India’s extensive rail network of approximately 15,000 locomotives. The partnership positions Rail Vision to participate in upcoming tenders and projects aimed at enhancing railway safety, particularly in challenging weather conditions. This strategic expansion underscores Rail Vision’s commitment to global market penetration and technological innovation in railway safety.</w:t>
      </w:r>
    </w:p>
    <w:p>
      <w:pPr>
        <w:spacing w:after="0" w:line="1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46" w:name="page47"/>
    <w:bookmarkEnd w:id="46"/>
    <w:p>
      <w:pPr>
        <w:jc w:val="both"/>
        <w:ind w:left="98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investing in efforts to create and develop collaborations with leading train manufacturers. These collaborations are meant to be long-term, with the aim of integrating our railway detection systems into the future production lines of these train manufacturers. We believe that the railway detection systems we develop will be an integral part of future trains, and therefore it is important to invest marketing efforts as early as possible to promote partnerships with train manufacturers and increase market adoption of our railway detection systems.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relations with Knorr-Bremse to serve as a a local partner engaged in marketing, sales and the implementation of projects, including integration, installation and services regarding our products in the relevant markets in which Knorr-Bremse operates worldwide.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invest in advertising in traditional industry channels, social media networks and digital channels to better advertise and market our railway detection systems to potential customers in the railway industry.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strive to increase collaborations with other companies operating in the railway industry, such as companies that are engaged in complementary technologies, as we believe that collaborations with these companies may provide added value to our customers.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services – Following the dissemination of our technology and products among many customers, we already deployed our MainLine and ShuntingYard systems customers with our D.A.S.H. SaaS tool. We consider the data services to be one of the most important growth engines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Products and Applications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exploring a number of additional railway detection system applications that are in various stages of research and development,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Maintenance and predictive maintenance: </w:t>
      </w:r>
      <w:r>
        <w:rPr>
          <w:rFonts w:ascii="Times New Roman" w:cs="Times New Roman" w:eastAsia="Times New Roman" w:hAnsi="Times New Roman"/>
          <w:sz w:val="18"/>
          <w:szCs w:val="18"/>
          <w:color w:val="auto"/>
        </w:rPr>
        <w:t>customers who have installed Rail Vision Main line and Shunting yard systems for real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identification of objects, will have the option of receiving predictive track maintenance services, such as identification of vegetation invading the tracks, damage to infrastructures, sunk pylons, etc. This railway detection system application will be able to collect the data from the sensors and check for any changes in and around the track infrastructure in order to indicate possible defects in the infrastructures. Currently, this application is in the initial research and development (R&amp;D) stage.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Mapping and updates – Geographic Information Systems (GIS)</w:t>
      </w:r>
      <w:r>
        <w:rPr>
          <w:rFonts w:ascii="Times New Roman" w:cs="Times New Roman" w:eastAsia="Times New Roman" w:hAnsi="Times New Roman"/>
          <w:sz w:val="18"/>
          <w:szCs w:val="18"/>
          <w:color w:val="auto"/>
        </w:rPr>
        <w:t>: since trains travel the same route several times a day, the comparison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data received by our railway detection system can discover infrastructures such as posts, signaling systems, electronics boxes, and check their actual location using system measurements based on an image-based navigation (IBN) algorithm, and compare the data with existing records and provide updates. This saves both time and money, as the expense of remapping a railway track is rarely done, and usually forces stretches of track to be closed for such updates. This application of our railway detection system is in the R&amp;D stage.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Data Services</w:t>
      </w:r>
      <w:r>
        <w:rPr>
          <w:rFonts w:ascii="Times New Roman" w:cs="Times New Roman" w:eastAsia="Times New Roman" w:hAnsi="Times New Roman"/>
          <w:sz w:val="18"/>
          <w:szCs w:val="18"/>
          <w:color w:val="auto"/>
        </w:rPr>
        <w:t>: this application of our system will be based on long-term collection of data from Company’s sensors installed on trains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data on infrastructure, train traffic and the surroundings. Analysis of the data will generate reports showing trends in driver behavior and the surrounding area and conditions, which will help train operators reduce downtime caused by infrastructure problems, and improve the synchronization of trains, as required by the customer.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this application is only at the start of the research and development stages and is also conditioned on the installation and operation of about one hundred railway detection systems in order to obtain sufficient data for its operation, assuming the successful completion of its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We intend to offer the data services as an added value to our system to be installed at the customer and not as a separate product.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 Railways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31, 2023, we signed a contract with Israel Railways to supply 10 systems. The first deliveries of the systems were completed in 2024, and in December 2024, we received certification approval for the installation of our MainLine Systems on Israel Railways’ passenger locomotives. We expect that the remainder of the systems will be delivered by mid 2025. We believe that the first order for such system by a commercial operator will have an impact on the market. The total amount is approximately $1.40 million USD.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Latin American mining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we received a $500,000 purchase order for a single Main Line system and related services from a leading Latin American mining company, which was delivered to the new customer in December 2023. The customer began long-term pilot soon after installation was completed in July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US-based rail and leasing services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2024, we signed a supply contract with a leading US-based rail and leasing services company valued at up to $5,000,000 (USD) for the purchase our AI-based Switch Yard Systems. The first phase of the contract was valued at $1,000,000 (USD). Follow-on orders for additional Switch Yard Systems, valued at up to $4,000,000, are subject to customer approval. The contract also includes specific purchase quotas that, if met, provide the customer with exclusivity in the North American industrial railyards switching segment. In April 2024, the Company received an initial purchase order for the Company’s Shunting Yard systems amounting to approximately $1,000,000 as part of this contract. In June 2024, the Company received follow-on orders from this customer in a total amount of approximately $200,000, which is in addition to the existing contract and refers to additional services requested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Loram Maintenance of Way,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we received an order for our Switch Yard System from Loram, a leading US-based provider of railway track maintenance equipment and services. In June 2024, we completed the successful delivery and installation, marking the beginning of a pilot project aimed at enhancing Loram’s rail track maintenance operations with our advanced technology. We and Loram will consider an expansion of this product, further integrating our innovative solutions into Loram’s rail vehicles across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Sujan Ventures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7, 2025, we signed a Memorandum of Understanding (MOU) with Sujan Ventures, a division of the Sujan Group, a premier technology and components supplier to the Indian rail industry. Under the terms of the MOU, Sujan Ventures will lead local efforts to introduce Rail Vision’s advanced safety systems to the Indian market. As an initial step, Rail Vision will conduct a short trial of its systems at the customer’s facilities to demonstrate their capabilities. Following satisfaction and approval of Sujan Ventures’ customers, the parties intend to proceed with a definitive agreement to advance their collaboration. Sujan Ventures shall make an initial upfront payment to the Company and will make additional payments upon the completion of certain milestones. During the term of the MOU, Sujan Ventures shall have the exclusive right to negotiate and enter an agreement to distribute the Company’s solutions in India. This collaboration aims to position Rail Vision’s innovative technologies for inclusion in future tenders and ongoing projects to enhance rail safety by equipping locomotives with advanced systems for accident avoidance, particularly in adverse weather conditions. These tenders will require thousands of locomotives in India to be outfitted with state-of-the-art technologies to significantly reduce accidents and casualties, creating a substantial market opportunity for Rail Vision.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Knorr-Bremse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 series of strategic and investment agreements with Knorr-Bremse or affiliates of Knorr-Bremse. Knorr-Bremse is a 110 year old multi-billion dollar market cap company traded on the Frankfurt Stock Exchange. With more than 30,000 employees at over 100 locations in more than 30 countries around the globe Knorr-Bremse is a world leader in braking &amp; peripheral systems generating total of sales of $8.7 billion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19, 2021, we entered into a Strategic Partnership Agreement with Knorr-Bremse. Under the terms of the Strategic Partnership Agreement, we will collaborate with Knorr-Bremse with respect to joint projects, based on the following principles: (a)(i) the expansion of the Knorr-Bremse Railway Driver Assistance Systems to the field of environmental observation, or (ii) future collaboration in the areas of barrier identification and classification systems in the railway industry; and (b) as part of the framework, we will provide Knorr-Bremse the technology needed in order to fulfilling the customer’s requirements.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further provides, among other things, that (i) in the event that a customer is presented to us by Knorr-Bremse, subject to the certain conditions, Knorr-Bremse will be entitled to serve as the main contractor for such project, (ii) for any joint project, the parties will mutually agree on the identity of the main contractor and (iii) we will instruct and train the local Knorr-Bremse missions to provide field support services for our systems.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implementation of the terms of the agreement is subject to future approvals and agreements between the parties and third parties, including transactions that may be subject to the related party transaction rules under the Companies Act, and, as such, there is no certainty that such transactions will be executed, in whole or in part.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of the agreement expired three years after the date of the agreement, or August 19,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Israel Railways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3, 2016, we entered into a Cooperation Agreement with Israel Railways Ltd. (a governmental company fully owned by the State of Israel), which was further amended on January 19, 2020.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undertook to fulfill certain functions for the development, marketing, distribution and sale of the system, and Israel Railways undertook to provide us with services and the means to perform tests and experiments, mainly in logistics and manpower, and to provide us with information on certain data that will be given at the discretion of Israel Railways.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upon the completion of our initial public offering in April 2022, Israel Railways became entitled to consideration of 1.5% of the actual proceeds from our initial public offering, which was approximately $213,000, and accordingly their right to payment of royalties has expired, according to the agreement provisions.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agreement further provides that Israel Railways was entitled to purchase our products and services at a price equal to half the lowest price charged by us for those products and services to an unrelated third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as part of the agreement and in consideration for services provided to us by Israel Railways, we granted Israel Railways warrants to purchase 24,431 of our ordinary shares with a nominal exercise price. On January 25, 2023, Israel Railways provided notice of its exercise of the warrants, pursuant to which we issued 24,431 ordinary shares to Israel Railways.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was terminated and canceled by the parties in January 2023 under the commercial agreement signed on January 31, 2023 (for additional information, see “Commercial Agreements – Israeli Railways”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In particular, we operate in a market where most of our competitors are either large corporations such as Bosch Engineering GmbH, ALSTOM Holdings, Siemens Mobility GmbH and Toshiba Infrastructure Systems &amp; Solutions Corporation with others such as 4AI systems and Cognitive Pilot LLC. Current and future competitors may be able to respond more quickly to new or emerging technologies and changes in customer demands and to devote greater resources to the development, promotion and sale of their products than we can.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Unlike some of the competitors that have used existing systems from the motor vehicle world and adjusted them to the railway environment, we develop our railway detection systems from the beginning to operate on trains. Additionally, in terms of the ability to identify hazards at far longer distances under harsh weather conditions, our railway detection system functions can not only discover obstacles on the tracks but also identify these obstacles. We believe that our railway detection system’s contribution to train safety will be greater than that of existing railway detection systems by our competitors. Thus, by our estimate, the railway detection systems offered by competitors for mainline trains have relatively limited capabilities compared to the capabilities of our MainLine system. From our own analysis, we believe that our competitors offer a shorter range-detection distance and provide a lower detection probability of obstacles than the railway detection systems we have developed.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competitors offer a shorter range-detection distance and provide a lower detection probability of obstacles using technologies such as Lidar or Radar. Our systems consist of electro-optic sensors using artificial intelligence for automatic identification, classification of obstacles along the tracks at distances which, to the best of our knowledge, are longer than those of the competition. Our railway detection systems also have a greater degree of accuracy and higher probability to detect obstacles, which, to the best of our knowledge, results in fewer false alerts compared to competing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best of our knowledge, several competing companies are developing systems to help drivers. Some derive from the world of trains, others from the wheeled vehicle industry. These companies adapt technologies from the vehicle industry for use with trains, for long distance identification of hazards. These technologies are generally based on LIDAR technology and/or radar scans with cameras, and as far as we know, have not yet been shown to be suitable for the railway environment, in terms of discovery ranges and required performance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differentiate our systems by focusing on their unique ability to use AI algorithms in real time to provide alerts to the driver throughout the entire drive. In our estimation, the advantages of our technology over the competition are:</w:t>
      </w:r>
    </w:p>
    <w:p>
      <w:pPr>
        <w:spacing w:after="0" w:line="162" w:lineRule="exact"/>
        <w:rPr>
          <w:sz w:val="20"/>
          <w:szCs w:val="20"/>
          <w:color w:val="auto"/>
        </w:rPr>
      </w:pPr>
    </w:p>
    <w:p>
      <w:pPr>
        <w:jc w:val="both"/>
        <w:ind w:left="98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railway detection system is based on passive technology that uses video images or thermal images, unlike other railway detection systems that are based on obstacle discovery using radar or lasers, which emit radiation along the railway track and are prone for higher false rates– we do not know of any other system that reaches 2 kilometers classification.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several field trials, our railway detection systems have shown an ability to identify objects at distances of up to 2,000 meters. Discovering obstacles at a long range is essential for effectively discovering obstacles since there is a long braking distances required by trains to come to a complete stop from the time the obstacle is identified.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railway detection systems, compared to LIDAR technology, are less sensitive to platform speed or rocking motions, higher resolution and are able to classify obstacles at longer distances compared to competing railway detection systems.</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detection systems are based on passive technology, and are therefore not exposed to interference due to hot spots and reflection overload. Other technologies such as radar are sensitive to the presence of metallic objects (such as screws, springs and other metallic objects etc.) which are often found on or near railway tracks.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0" w:name="page51"/>
    <w:bookmarkEnd w:id="50"/>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detect unique classifications, such as forward and backward switches, which are extremely important for our customers, can only be done effectively using vision technology due to resolution limitations that currently exists in other technologies.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thermal imaging enhances our detection capabilities of heat emitting objects, such as humans, animals and vehicles and allows our system to see under very harsh lighting and weather conditions.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following table gives representative details of various solutions currently available on the market in the field of identifying obstacles on railway tracks. The following information is based on our beliefs, has been provided to us from publications by the various competitors listed below and has not been independently verified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Shunting Yard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top w:val="single" w:sz="8" w:color="auto"/>
            </w:tcBorders>
            <w:vMerge w:val="restart"/>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Product &amp;</w:t>
            </w:r>
          </w:p>
        </w:tc>
        <w:tc>
          <w:tcPr>
            <w:tcW w:w="3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6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220" w:type="dxa"/>
            <w:vAlign w:val="bottom"/>
          </w:tcPr>
          <w:p>
            <w:pPr>
              <w:spacing w:after="0"/>
              <w:rPr>
                <w:sz w:val="20"/>
                <w:szCs w:val="20"/>
                <w:color w:val="auto"/>
              </w:rPr>
            </w:pPr>
          </w:p>
        </w:tc>
        <w:tc>
          <w:tcPr>
            <w:tcW w:w="3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Competitive Analysis</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Homologation</w:t>
            </w:r>
          </w:p>
        </w:tc>
        <w:tc>
          <w:tcPr>
            <w:tcW w:w="0" w:type="dxa"/>
            <w:vAlign w:val="bottom"/>
          </w:tcPr>
          <w:p>
            <w:pPr>
              <w:spacing w:after="0"/>
              <w:rPr>
                <w:sz w:val="1"/>
                <w:szCs w:val="1"/>
                <w:color w:val="auto"/>
              </w:rPr>
            </w:pPr>
          </w:p>
        </w:tc>
      </w:tr>
      <w:tr>
        <w:trPr>
          <w:trHeight w:val="425"/>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Advantages: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34" w:right="339" w:bottom="1440" w:gutter="0" w:footer="0" w:header="0"/>
        </w:sectPr>
      </w:pPr>
    </w:p>
    <w:tbl>
      <w:tblPr>
        <w:tblLayout w:type="fixed"/>
        <w:tblInd w:w="0" w:type="dxa"/>
        <w:tblCellMar>
          <w:top w:w="0" w:type="dxa"/>
          <w:left w:w="0" w:type="dxa"/>
          <w:bottom w:w="0" w:type="dxa"/>
          <w:right w:w="0" w:type="dxa"/>
        </w:tblCellMar>
      </w:tblPr>
      <w:tr>
        <w:trPr>
          <w:trHeight w:val="198"/>
        </w:trPr>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35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The system incorporates a short-range radar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camera;</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Disadvantages: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 To the best of the Company’s knowledge,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system is in development and has not yet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Based on a</w:t>
            </w:r>
          </w:p>
        </w:tc>
        <w:tc>
          <w:tcPr>
            <w:tcW w:w="54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been sold in serial production. No existing</w:t>
            </w:r>
          </w:p>
        </w:tc>
        <w:tc>
          <w:tcPr>
            <w:tcW w:w="0" w:type="dxa"/>
            <w:vAlign w:val="bottom"/>
          </w:tcPr>
          <w:p>
            <w:pPr>
              <w:spacing w:after="0"/>
              <w:rPr>
                <w:sz w:val="1"/>
                <w:szCs w:val="1"/>
                <w:color w:val="auto"/>
              </w:rPr>
            </w:pPr>
          </w:p>
        </w:tc>
      </w:tr>
      <w:tr>
        <w:trPr>
          <w:trHeight w:val="21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Cognitive Pilot</w:t>
            </w:r>
          </w:p>
        </w:tc>
        <w:tc>
          <w:tcPr>
            <w:tcW w:w="1540" w:type="dxa"/>
            <w:vAlign w:val="bottom"/>
          </w:tcPr>
          <w:p>
            <w:pPr>
              <w:spacing w:after="0"/>
              <w:rPr>
                <w:sz w:val="18"/>
                <w:szCs w:val="18"/>
                <w:color w:val="auto"/>
              </w:rPr>
            </w:pP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combination of</w:t>
            </w:r>
          </w:p>
        </w:tc>
        <w:tc>
          <w:tcPr>
            <w:tcW w:w="54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customers are known beyond demos.</w:t>
            </w: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Shunting Yard</w:t>
            </w: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daylight camera +</w:t>
            </w:r>
          </w:p>
        </w:tc>
        <w:tc>
          <w:tcPr>
            <w:tcW w:w="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Company understands</w:t>
            </w: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that</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system</w:t>
            </w:r>
          </w:p>
        </w:tc>
        <w:tc>
          <w:tcPr>
            <w:tcW w:w="0" w:type="dxa"/>
            <w:vAlign w:val="bottom"/>
          </w:tcPr>
          <w:p>
            <w:pPr>
              <w:spacing w:after="0"/>
              <w:rPr>
                <w:sz w:val="1"/>
                <w:szCs w:val="1"/>
                <w:color w:val="auto"/>
              </w:rPr>
            </w:pPr>
          </w:p>
        </w:tc>
      </w:tr>
      <w:tr>
        <w:trPr>
          <w:trHeight w:val="11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LLC</w:t>
            </w:r>
          </w:p>
        </w:tc>
        <w:tc>
          <w:tcPr>
            <w:tcW w:w="154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36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radar</w:t>
            </w:r>
          </w:p>
        </w:tc>
        <w:tc>
          <w:tcPr>
            <w:tcW w:w="540" w:type="dxa"/>
            <w:vAlign w:val="bottom"/>
          </w:tcPr>
          <w:p>
            <w:pPr>
              <w:spacing w:after="0"/>
              <w:rPr>
                <w:sz w:val="10"/>
                <w:szCs w:val="10"/>
                <w:color w:val="auto"/>
              </w:rPr>
            </w:pPr>
          </w:p>
        </w:tc>
        <w:tc>
          <w:tcPr>
            <w:tcW w:w="3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operates at shorter ranges than the Company’s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system.</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the best of the Company’s knowledge,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competitor’s  system  does  not  include  a</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thermal  camera,  unlike</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Company’s</w:t>
            </w:r>
          </w:p>
        </w:tc>
        <w:tc>
          <w:tcPr>
            <w:tcW w:w="0" w:type="dxa"/>
            <w:vAlign w:val="bottom"/>
          </w:tcPr>
          <w:p>
            <w:pPr>
              <w:spacing w:after="0"/>
              <w:rPr>
                <w:sz w:val="1"/>
                <w:szCs w:val="1"/>
                <w:color w:val="auto"/>
              </w:rPr>
            </w:pPr>
          </w:p>
        </w:tc>
      </w:tr>
    </w:tbl>
    <w:p>
      <w:pPr>
        <w:ind w:left="5420"/>
        <w:spacing w:after="0"/>
        <w:rPr>
          <w:sz w:val="20"/>
          <w:szCs w:val="20"/>
          <w:color w:val="auto"/>
        </w:rPr>
      </w:pPr>
      <w:r>
        <w:rPr>
          <w:rFonts w:ascii="Times New Roman" w:cs="Times New Roman" w:eastAsia="Times New Roman" w:hAnsi="Times New Roman"/>
          <w:sz w:val="18"/>
          <w:szCs w:val="18"/>
          <w:color w:val="auto"/>
        </w:rPr>
        <w:t>system,  which  has  a  thermal  camera  that</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enables visual identification even at night.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not aware of a standardization process that this competitor has initiated.</w:t>
      </w:r>
    </w:p>
    <w:p>
      <w:pPr>
        <w:spacing w:after="0" w:line="1573" w:lineRule="exact"/>
        <w:rPr>
          <w:sz w:val="20"/>
          <w:szCs w:val="20"/>
          <w:color w:val="auto"/>
        </w:rPr>
      </w:pPr>
    </w:p>
    <w:p>
      <w:pPr>
        <w:sectPr>
          <w:pgSz w:w="11900" w:h="16838" w:orient="portrait"/>
          <w:cols w:equalWidth="0" w:num="2">
            <w:col w:w="8780" w:space="220"/>
            <w:col w:w="224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Tram forward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collision warning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(TFCW), Based on</w:t>
            </w:r>
          </w:p>
        </w:tc>
        <w:tc>
          <w:tcPr>
            <w:tcW w:w="0" w:type="dxa"/>
            <w:vAlign w:val="bottom"/>
          </w:tcPr>
          <w:p>
            <w:pPr>
              <w:spacing w:after="0"/>
              <w:rPr>
                <w:sz w:val="1"/>
                <w:szCs w:val="1"/>
                <w:color w:val="auto"/>
              </w:rPr>
            </w:pPr>
          </w:p>
        </w:tc>
      </w:tr>
      <w:tr>
        <w:trPr>
          <w:trHeight w:val="216"/>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Bosch</w:t>
            </w: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solution from the</w:t>
            </w:r>
          </w:p>
        </w:tc>
        <w:tc>
          <w:tcPr>
            <w:tcW w:w="0" w:type="dxa"/>
            <w:vAlign w:val="bottom"/>
          </w:tcPr>
          <w:p>
            <w:pPr>
              <w:spacing w:after="0"/>
              <w:rPr>
                <w:sz w:val="1"/>
                <w:szCs w:val="1"/>
                <w:color w:val="auto"/>
              </w:rPr>
            </w:pPr>
          </w:p>
        </w:tc>
      </w:tr>
      <w:tr>
        <w:trPr>
          <w:trHeight w:val="212"/>
        </w:trPr>
        <w:tc>
          <w:tcPr>
            <w:tcW w:w="12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wheeled vehicle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Engineering</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Shunting Yard</w:t>
            </w: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industry, on the</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GmbH</w:t>
            </w:r>
          </w:p>
        </w:tc>
        <w:tc>
          <w:tcPr>
            <w:tcW w:w="1640" w:type="dxa"/>
            <w:vAlign w:val="bottom"/>
          </w:tcPr>
          <w:p>
            <w:pPr>
              <w:spacing w:after="0"/>
              <w:rPr>
                <w:sz w:val="19"/>
                <w:szCs w:val="19"/>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 since 2017.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Approved for use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LRV under a</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European standard.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Advantages:</w:t>
      </w:r>
    </w:p>
    <w:p>
      <w:pPr>
        <w:spacing w:after="0" w:line="31" w:lineRule="exact"/>
        <w:rPr>
          <w:sz w:val="20"/>
          <w:szCs w:val="20"/>
          <w:color w:val="auto"/>
        </w:rPr>
      </w:pPr>
    </w:p>
    <w:p>
      <w:pPr>
        <w:jc w:val="both"/>
        <w:ind w:left="560" w:hanging="451"/>
        <w:spacing w:after="0" w:line="250"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public announcements, the system has been sold to LRV customers. Bosch’s past experience is an advantage.</w:t>
      </w:r>
    </w:p>
    <w:p>
      <w:pPr>
        <w:spacing w:after="0" w:line="1" w:lineRule="exact"/>
        <w:rPr>
          <w:rFonts w:ascii="Times New Roman" w:cs="Times New Roman" w:eastAsia="Times New Roman" w:hAnsi="Times New Roman"/>
          <w:sz w:val="18"/>
          <w:szCs w:val="18"/>
          <w:color w:val="auto"/>
        </w:rPr>
      </w:pPr>
    </w:p>
    <w:p>
      <w:pPr>
        <w:jc w:val="both"/>
        <w:ind w:left="560" w:hanging="451"/>
        <w:spacing w:after="0" w:line="250"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 the Bosch system is sold at a competitive price at the LRV market</w:t>
      </w:r>
    </w:p>
    <w:p>
      <w:pPr>
        <w:spacing w:after="0" w:line="1" w:lineRule="exact"/>
        <w:rPr>
          <w:rFonts w:ascii="Times New Roman" w:cs="Times New Roman" w:eastAsia="Times New Roman" w:hAnsi="Times New Roman"/>
          <w:sz w:val="18"/>
          <w:szCs w:val="18"/>
          <w:color w:val="auto"/>
        </w:rPr>
      </w:pPr>
    </w:p>
    <w:p>
      <w:pPr>
        <w:jc w:val="both"/>
        <w:ind w:left="560" w:hanging="451"/>
        <w:spacing w:after="0" w:line="250"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Bosch is a global company with high technological and financial capabilities compared to the Company.</w:t>
      </w:r>
    </w:p>
    <w:p>
      <w:pPr>
        <w:spacing w:after="0" w:line="1" w:lineRule="exact"/>
        <w:rPr>
          <w:rFonts w:ascii="Times New Roman" w:cs="Times New Roman" w:eastAsia="Times New Roman" w:hAnsi="Times New Roman"/>
          <w:sz w:val="18"/>
          <w:szCs w:val="18"/>
          <w:color w:val="auto"/>
        </w:rPr>
      </w:pPr>
    </w:p>
    <w:p>
      <w:pPr>
        <w:ind w:left="560" w:hanging="451"/>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also includes short-range radar.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Disadvantages:</w:t>
      </w:r>
    </w:p>
    <w:p>
      <w:pPr>
        <w:spacing w:after="0" w:line="9" w:lineRule="exact"/>
        <w:rPr>
          <w:sz w:val="20"/>
          <w:szCs w:val="20"/>
          <w:color w:val="auto"/>
        </w:rPr>
      </w:pPr>
    </w:p>
    <w:p>
      <w:pPr>
        <w:jc w:val="both"/>
        <w:ind w:left="560" w:hanging="451"/>
        <w:spacing w:after="0" w:line="250" w:lineRule="auto"/>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 Bosch system is designed to the LRV market, not for shunting.</w:t>
      </w:r>
    </w:p>
    <w:p>
      <w:pPr>
        <w:spacing w:after="0" w:line="1" w:lineRule="exact"/>
        <w:rPr>
          <w:rFonts w:ascii="Times New Roman" w:cs="Times New Roman" w:eastAsia="Times New Roman" w:hAnsi="Times New Roman"/>
          <w:sz w:val="18"/>
          <w:szCs w:val="18"/>
          <w:color w:val="auto"/>
        </w:rPr>
      </w:pPr>
    </w:p>
    <w:p>
      <w:pPr>
        <w:ind w:left="560" w:hanging="451"/>
        <w:spacing w:after="0"/>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Bosch’s system does not include a thermal</w:t>
      </w:r>
    </w:p>
    <w:p>
      <w:pPr>
        <w:spacing w:after="0" w:line="9" w:lineRule="exact"/>
        <w:rPr>
          <w:sz w:val="20"/>
          <w:szCs w:val="20"/>
          <w:color w:val="auto"/>
        </w:rPr>
      </w:pPr>
    </w:p>
    <w:p>
      <w:pPr>
        <w:jc w:val="both"/>
        <w:ind w:left="560"/>
        <w:spacing w:after="0" w:line="250" w:lineRule="auto"/>
        <w:rPr>
          <w:sz w:val="20"/>
          <w:szCs w:val="20"/>
          <w:color w:val="auto"/>
        </w:rPr>
      </w:pPr>
      <w:r>
        <w:rPr>
          <w:rFonts w:ascii="Times New Roman" w:cs="Times New Roman" w:eastAsia="Times New Roman" w:hAnsi="Times New Roman"/>
          <w:sz w:val="18"/>
          <w:szCs w:val="18"/>
          <w:color w:val="auto"/>
        </w:rPr>
        <w:t>camera like the system developed by the Company, which includes a thermal camera that allows visual identification even at night.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is aware that the competing system has a high false alarm rate.</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26035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installation of such a</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system requires standardization, it can be assumed that Bosch has the standard required to install such a system in the cities where the system is installed.</w:t>
      </w:r>
    </w:p>
    <w:p>
      <w:pPr>
        <w:sectPr>
          <w:pgSz w:w="11900" w:h="16838" w:orient="portrait"/>
          <w:cols w:equalWidth="0" w:num="3">
            <w:col w:w="4560" w:space="300"/>
            <w:col w:w="3920" w:space="220"/>
            <w:col w:w="2240"/>
          </w:cols>
          <w:pgMar w:left="320" w:top="63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Shunting Yard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Product &amp;</w:t>
            </w:r>
          </w:p>
        </w:tc>
        <w:tc>
          <w:tcPr>
            <w:tcW w:w="32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320" w:type="dxa"/>
            <w:vAlign w:val="bottom"/>
          </w:tcPr>
          <w:p>
            <w:pPr>
              <w:spacing w:after="0"/>
              <w:rPr>
                <w:sz w:val="20"/>
                <w:szCs w:val="20"/>
                <w:color w:val="auto"/>
              </w:rPr>
            </w:pPr>
          </w:p>
        </w:tc>
        <w:tc>
          <w:tcPr>
            <w:tcW w:w="37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Competitive Analysis</w:t>
            </w:r>
          </w:p>
        </w:tc>
        <w:tc>
          <w:tcPr>
            <w:tcW w:w="320" w:type="dxa"/>
            <w:vAlign w:val="bottom"/>
          </w:tcPr>
          <w:p>
            <w:pPr>
              <w:spacing w:after="0"/>
              <w:rPr>
                <w:sz w:val="20"/>
                <w:szCs w:val="20"/>
                <w:color w:val="auto"/>
              </w:rPr>
            </w:pPr>
          </w:p>
        </w:tc>
        <w:tc>
          <w:tcPr>
            <w:tcW w:w="2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Homologation</w:t>
            </w:r>
          </w:p>
        </w:tc>
        <w:tc>
          <w:tcPr>
            <w:tcW w:w="0" w:type="dxa"/>
            <w:vAlign w:val="bottom"/>
          </w:tcPr>
          <w:p>
            <w:pPr>
              <w:spacing w:after="0"/>
              <w:rPr>
                <w:sz w:val="1"/>
                <w:szCs w:val="1"/>
                <w:color w:val="auto"/>
              </w:rPr>
            </w:pPr>
          </w:p>
        </w:tc>
      </w:tr>
      <w:tr>
        <w:trPr>
          <w:trHeight w:val="191"/>
        </w:trPr>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Advantages:</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EU based company</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system is based</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Mobile system</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w:t>
            </w: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are  not  aware  of  a</w:t>
            </w:r>
          </w:p>
        </w:tc>
        <w:tc>
          <w:tcPr>
            <w:tcW w:w="0" w:type="dxa"/>
            <w:vAlign w:val="bottom"/>
          </w:tcPr>
          <w:p>
            <w:pPr>
              <w:spacing w:after="0"/>
              <w:rPr>
                <w:sz w:val="1"/>
                <w:szCs w:val="1"/>
                <w:color w:val="auto"/>
              </w:rPr>
            </w:pPr>
          </w:p>
        </w:tc>
      </w:tr>
      <w:tr>
        <w:trPr>
          <w:trHeight w:val="112"/>
        </w:trPr>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on an array of day</w:t>
            </w: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Disadvantages:</w:t>
            </w:r>
          </w:p>
        </w:tc>
        <w:tc>
          <w:tcPr>
            <w:tcW w:w="3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4040" w:type="dxa"/>
            <w:vAlign w:val="bottom"/>
            <w:gridSpan w:val="3"/>
            <w:vMerge w:val="continue"/>
          </w:tcPr>
          <w:p>
            <w:pPr>
              <w:spacing w:after="0"/>
              <w:rPr>
                <w:sz w:val="9"/>
                <w:szCs w:val="9"/>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standardization process that this</w:t>
            </w:r>
          </w:p>
        </w:tc>
        <w:tc>
          <w:tcPr>
            <w:tcW w:w="0" w:type="dxa"/>
            <w:vAlign w:val="bottom"/>
          </w:tcPr>
          <w:p>
            <w:pPr>
              <w:spacing w:after="0"/>
              <w:rPr>
                <w:sz w:val="1"/>
                <w:szCs w:val="1"/>
                <w:color w:val="auto"/>
              </w:rPr>
            </w:pPr>
          </w:p>
        </w:tc>
      </w:tr>
      <w:tr>
        <w:trPr>
          <w:trHeight w:val="11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OTIV</w:t>
            </w: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Shunting Yard</w:t>
            </w: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cameras with</w:t>
            </w: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To the best of the Company’s knowledge, the</w:t>
            </w:r>
          </w:p>
        </w:tc>
        <w:tc>
          <w:tcPr>
            <w:tcW w:w="2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720" w:type="dxa"/>
            <w:vAlign w:val="bottom"/>
            <w:gridSpan w:val="2"/>
            <w:vMerge w:val="continue"/>
          </w:tcPr>
          <w:p>
            <w:pPr>
              <w:spacing w:after="0"/>
              <w:rPr>
                <w:sz w:val="9"/>
                <w:szCs w:val="9"/>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competitor has initiated.</w:t>
            </w:r>
          </w:p>
        </w:tc>
        <w:tc>
          <w:tcPr>
            <w:tcW w:w="0" w:type="dxa"/>
            <w:vAlign w:val="bottom"/>
          </w:tcPr>
          <w:p>
            <w:pPr>
              <w:spacing w:after="0"/>
              <w:rPr>
                <w:sz w:val="1"/>
                <w:szCs w:val="1"/>
                <w:color w:val="auto"/>
              </w:rPr>
            </w:pPr>
          </w:p>
        </w:tc>
      </w:tr>
      <w:tr>
        <w:trPr>
          <w:trHeight w:val="126"/>
        </w:trPr>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integrated AI.</w:t>
            </w:r>
          </w:p>
        </w:tc>
        <w:tc>
          <w:tcPr>
            <w:tcW w:w="320" w:type="dxa"/>
            <w:vAlign w:val="bottom"/>
          </w:tcPr>
          <w:p>
            <w:pPr>
              <w:spacing w:after="0"/>
              <w:rPr>
                <w:sz w:val="10"/>
                <w:szCs w:val="10"/>
                <w:color w:val="auto"/>
              </w:rPr>
            </w:pPr>
          </w:p>
        </w:tc>
        <w:tc>
          <w:tcPr>
            <w:tcW w:w="3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ranges are lower than our system.</w:t>
            </w:r>
          </w:p>
        </w:tc>
        <w:tc>
          <w:tcPr>
            <w:tcW w:w="2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7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Depends on 4G/5G – might be a problem</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when there is no cellular connectivity.</w:t>
            </w: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Advantages: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Alstom is a major player within the railways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system is based</w:t>
            </w:r>
          </w:p>
        </w:tc>
        <w:tc>
          <w:tcPr>
            <w:tcW w:w="4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industry with high technological and financial</w:t>
            </w: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  are  not  aware  of  a</w:t>
            </w:r>
          </w:p>
        </w:tc>
        <w:tc>
          <w:tcPr>
            <w:tcW w:w="0" w:type="dxa"/>
            <w:vAlign w:val="bottom"/>
          </w:tcPr>
          <w:p>
            <w:pPr>
              <w:spacing w:after="0"/>
              <w:rPr>
                <w:sz w:val="1"/>
                <w:szCs w:val="1"/>
                <w:color w:val="auto"/>
              </w:rPr>
            </w:pPr>
          </w:p>
        </w:tc>
      </w:tr>
      <w:tr>
        <w:trPr>
          <w:trHeight w:val="108"/>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ALSTOM</w:t>
            </w:r>
          </w:p>
        </w:tc>
        <w:tc>
          <w:tcPr>
            <w:tcW w:w="1720" w:type="dxa"/>
            <w:vAlign w:val="bottom"/>
          </w:tcPr>
          <w:p>
            <w:pPr>
              <w:spacing w:after="0"/>
              <w:rPr>
                <w:sz w:val="9"/>
                <w:szCs w:val="9"/>
                <w:color w:val="auto"/>
              </w:rPr>
            </w:pPr>
          </w:p>
        </w:tc>
        <w:tc>
          <w:tcPr>
            <w:tcW w:w="1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on an array of day</w:t>
            </w:r>
          </w:p>
        </w:tc>
        <w:tc>
          <w:tcPr>
            <w:tcW w:w="420" w:type="dxa"/>
            <w:vAlign w:val="bottom"/>
          </w:tcPr>
          <w:p>
            <w:pPr>
              <w:spacing w:after="0"/>
              <w:rPr>
                <w:sz w:val="9"/>
                <w:szCs w:val="9"/>
                <w:color w:val="auto"/>
              </w:rPr>
            </w:pPr>
          </w:p>
        </w:tc>
        <w:tc>
          <w:tcPr>
            <w:tcW w:w="36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capabilities</w:t>
            </w: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standardization process that this</w:t>
            </w:r>
          </w:p>
        </w:tc>
        <w:tc>
          <w:tcPr>
            <w:tcW w:w="0" w:type="dxa"/>
            <w:vAlign w:val="bottom"/>
          </w:tcPr>
          <w:p>
            <w:pPr>
              <w:spacing w:after="0"/>
              <w:rPr>
                <w:sz w:val="1"/>
                <w:szCs w:val="1"/>
                <w:color w:val="auto"/>
              </w:rPr>
            </w:pPr>
          </w:p>
        </w:tc>
      </w:tr>
      <w:tr>
        <w:trPr>
          <w:trHeight w:val="104"/>
        </w:trPr>
        <w:tc>
          <w:tcPr>
            <w:tcW w:w="1180" w:type="dxa"/>
            <w:vAlign w:val="bottom"/>
            <w:vMerge w:val="continue"/>
          </w:tcPr>
          <w:p>
            <w:pPr>
              <w:spacing w:after="0"/>
              <w:rPr>
                <w:sz w:val="9"/>
                <w:szCs w:val="9"/>
                <w:color w:val="auto"/>
              </w:rPr>
            </w:pPr>
          </w:p>
        </w:tc>
        <w:tc>
          <w:tcPr>
            <w:tcW w:w="1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Shunting Yard</w:t>
            </w:r>
          </w:p>
        </w:tc>
        <w:tc>
          <w:tcPr>
            <w:tcW w:w="1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cameras with</w:t>
            </w: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Partnering  with  ELTA  (major  player  in</w:t>
            </w: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172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60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competitor has initiated.</w:t>
            </w: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integrated AI.</w:t>
            </w:r>
          </w:p>
        </w:tc>
        <w:tc>
          <w:tcPr>
            <w:tcW w:w="420" w:type="dxa"/>
            <w:vAlign w:val="bottom"/>
          </w:tcPr>
          <w:p>
            <w:pPr>
              <w:spacing w:after="0"/>
              <w:rPr>
                <w:sz w:val="10"/>
                <w:szCs w:val="10"/>
                <w:color w:val="auto"/>
              </w:rPr>
            </w:pPr>
          </w:p>
        </w:tc>
        <w:tc>
          <w:tcPr>
            <w:tcW w:w="36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Radar’s)</w:t>
            </w: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0" w:type="dxa"/>
            <w:vAlign w:val="bottom"/>
            <w:vMerge w:val="continue"/>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Disadvantages:</w:t>
      </w:r>
    </w:p>
    <w:p>
      <w:pPr>
        <w:spacing w:after="0" w:line="9" w:lineRule="exact"/>
        <w:rPr>
          <w:sz w:val="20"/>
          <w:szCs w:val="20"/>
          <w:color w:val="auto"/>
        </w:rPr>
      </w:pPr>
    </w:p>
    <w:p>
      <w:pPr>
        <w:ind w:left="5320" w:hanging="405"/>
        <w:spacing w:after="0"/>
        <w:tabs>
          <w:tab w:leader="none" w:pos="5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Advantages: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Low cost</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system is based</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 system</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 an array of day</w:t>
            </w:r>
          </w:p>
        </w:tc>
        <w:tc>
          <w:tcPr>
            <w:tcW w:w="6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Disadvantages:</w:t>
            </w:r>
          </w:p>
        </w:tc>
        <w:tc>
          <w:tcPr>
            <w:tcW w:w="0" w:type="dxa"/>
            <w:vAlign w:val="bottom"/>
          </w:tcPr>
          <w:p>
            <w:pPr>
              <w:spacing w:after="0"/>
              <w:rPr>
                <w:sz w:val="1"/>
                <w:szCs w:val="1"/>
                <w:color w:val="auto"/>
              </w:rPr>
            </w:pPr>
          </w:p>
        </w:tc>
      </w:tr>
      <w:tr>
        <w:trPr>
          <w:trHeight w:val="220"/>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Siasun ixdrive</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Shunting Yard</w:t>
            </w:r>
          </w:p>
        </w:tc>
        <w:tc>
          <w:tcPr>
            <w:tcW w:w="1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cameras with</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the best of the Company’s knowledge,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integrated AI.</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is not tested</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Depends on 4G/5G – might be a problem</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when there is no cellular connectivity.</w:t>
            </w:r>
          </w:p>
        </w:tc>
        <w:tc>
          <w:tcPr>
            <w:tcW w:w="0" w:type="dxa"/>
            <w:vAlign w:val="bottom"/>
          </w:tcPr>
          <w:p>
            <w:pPr>
              <w:spacing w:after="0"/>
              <w:rPr>
                <w:sz w:val="1"/>
                <w:szCs w:val="1"/>
                <w:color w:val="auto"/>
              </w:rPr>
            </w:pPr>
          </w:p>
        </w:tc>
      </w:tr>
      <w:tr>
        <w:trPr>
          <w:trHeight w:val="432"/>
        </w:trPr>
        <w:tc>
          <w:tcPr>
            <w:tcW w:w="1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Main Line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Product &amp;</w:t>
            </w:r>
          </w:p>
        </w:tc>
        <w:tc>
          <w:tcPr>
            <w:tcW w:w="3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41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Competitive Analysis</w:t>
            </w:r>
          </w:p>
        </w:tc>
        <w:tc>
          <w:tcPr>
            <w:tcW w:w="320" w:type="dxa"/>
            <w:vAlign w:val="bottom"/>
          </w:tcPr>
          <w:p>
            <w:pPr>
              <w:spacing w:after="0"/>
              <w:rPr>
                <w:sz w:val="20"/>
                <w:szCs w:val="20"/>
                <w:color w:val="auto"/>
              </w:rPr>
            </w:pPr>
          </w:p>
        </w:tc>
        <w:tc>
          <w:tcPr>
            <w:tcW w:w="2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Homologation</w:t>
            </w:r>
          </w:p>
        </w:tc>
        <w:tc>
          <w:tcPr>
            <w:tcW w:w="0" w:type="dxa"/>
            <w:vAlign w:val="bottom"/>
          </w:tcPr>
          <w:p>
            <w:pPr>
              <w:spacing w:after="0"/>
              <w:rPr>
                <w:sz w:val="1"/>
                <w:szCs w:val="1"/>
                <w:color w:val="auto"/>
              </w:rPr>
            </w:pPr>
          </w:p>
        </w:tc>
      </w:tr>
      <w:tr>
        <w:trPr>
          <w:trHeight w:val="191"/>
        </w:trPr>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The system is based</w:t>
            </w:r>
          </w:p>
        </w:tc>
        <w:tc>
          <w:tcPr>
            <w:tcW w:w="39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Advantages:</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41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Australian based company.</w:t>
            </w:r>
          </w:p>
        </w:tc>
        <w:tc>
          <w:tcPr>
            <w:tcW w:w="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on an array of day</w:t>
            </w:r>
          </w:p>
        </w:tc>
        <w:tc>
          <w:tcPr>
            <w:tcW w:w="4160" w:type="dxa"/>
            <w:vAlign w:val="bottom"/>
            <w:gridSpan w:val="2"/>
            <w:vMerge w:val="continue"/>
          </w:tcPr>
          <w:p>
            <w:pPr>
              <w:spacing w:after="0"/>
              <w:rPr>
                <w:sz w:val="9"/>
                <w:szCs w:val="9"/>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w:t>
            </w: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are  not  aware  of  a</w:t>
            </w:r>
          </w:p>
        </w:tc>
        <w:tc>
          <w:tcPr>
            <w:tcW w:w="0" w:type="dxa"/>
            <w:vAlign w:val="bottom"/>
          </w:tcPr>
          <w:p>
            <w:pPr>
              <w:spacing w:after="0"/>
              <w:rPr>
                <w:sz w:val="1"/>
                <w:szCs w:val="1"/>
                <w:color w:val="auto"/>
              </w:rPr>
            </w:pPr>
          </w:p>
        </w:tc>
      </w:tr>
      <w:tr>
        <w:trPr>
          <w:trHeight w:val="11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4AI systems (AI</w:t>
            </w: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4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Disadvantages:</w:t>
            </w:r>
          </w:p>
        </w:tc>
        <w:tc>
          <w:tcPr>
            <w:tcW w:w="3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Main Line</w:t>
            </w: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cameras with</w:t>
            </w:r>
          </w:p>
        </w:tc>
        <w:tc>
          <w:tcPr>
            <w:tcW w:w="4160" w:type="dxa"/>
            <w:vAlign w:val="bottom"/>
            <w:gridSpan w:val="2"/>
            <w:vMerge w:val="continue"/>
          </w:tcPr>
          <w:p>
            <w:pPr>
              <w:spacing w:after="0"/>
              <w:rPr>
                <w:sz w:val="9"/>
                <w:szCs w:val="9"/>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standardization process that this</w:t>
            </w:r>
          </w:p>
        </w:tc>
        <w:tc>
          <w:tcPr>
            <w:tcW w:w="0" w:type="dxa"/>
            <w:vAlign w:val="bottom"/>
          </w:tcPr>
          <w:p>
            <w:pPr>
              <w:spacing w:after="0"/>
              <w:rPr>
                <w:sz w:val="1"/>
                <w:szCs w:val="1"/>
                <w:color w:val="auto"/>
              </w:rPr>
            </w:pPr>
          </w:p>
        </w:tc>
      </w:tr>
      <w:tr>
        <w:trPr>
          <w:trHeight w:val="11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machine)</w:t>
            </w:r>
          </w:p>
        </w:tc>
        <w:tc>
          <w:tcPr>
            <w:tcW w:w="1800" w:type="dxa"/>
            <w:vAlign w:val="bottom"/>
            <w:gridSpan w:val="3"/>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41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To the best of the Company’s knowledge, the</w:t>
            </w:r>
          </w:p>
        </w:tc>
        <w:tc>
          <w:tcPr>
            <w:tcW w:w="2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integrated AI.</w:t>
            </w:r>
          </w:p>
        </w:tc>
        <w:tc>
          <w:tcPr>
            <w:tcW w:w="4160" w:type="dxa"/>
            <w:vAlign w:val="bottom"/>
            <w:gridSpan w:val="2"/>
            <w:vMerge w:val="continue"/>
          </w:tcPr>
          <w:p>
            <w:pPr>
              <w:spacing w:after="0"/>
              <w:rPr>
                <w:sz w:val="9"/>
                <w:szCs w:val="9"/>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competitor has initiated.</w:t>
            </w:r>
          </w:p>
        </w:tc>
        <w:tc>
          <w:tcPr>
            <w:tcW w:w="0" w:type="dxa"/>
            <w:vAlign w:val="bottom"/>
          </w:tcPr>
          <w:p>
            <w:pPr>
              <w:spacing w:after="0"/>
              <w:rPr>
                <w:sz w:val="1"/>
                <w:szCs w:val="1"/>
                <w:color w:val="auto"/>
              </w:rPr>
            </w:pPr>
          </w:p>
        </w:tc>
      </w:tr>
      <w:tr>
        <w:trPr>
          <w:trHeight w:val="126"/>
        </w:trPr>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41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demo has been shown to a customer for a</w:t>
            </w:r>
          </w:p>
        </w:tc>
        <w:tc>
          <w:tcPr>
            <w:tcW w:w="2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1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specific use.</w:t>
            </w: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Advantages:</w:t>
            </w: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   ELTA is world leader in Radar technology</w:t>
            </w: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NIART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The system is based</w:t>
            </w:r>
          </w:p>
        </w:tc>
        <w:tc>
          <w:tcPr>
            <w:tcW w:w="4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with years of experience within Radar and EO</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w:t>
            </w: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are  not  aware  of  a</w:t>
            </w: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on an array of day</w:t>
            </w:r>
          </w:p>
        </w:tc>
        <w:tc>
          <w:tcPr>
            <w:tcW w:w="4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systems.</w:t>
            </w:r>
          </w:p>
        </w:tc>
        <w:tc>
          <w:tcPr>
            <w:tcW w:w="3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(Formally)\</w:t>
            </w: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4160" w:type="dxa"/>
            <w:vAlign w:val="bottom"/>
            <w:gridSpan w:val="2"/>
            <w:vMerge w:val="continue"/>
          </w:tcPr>
          <w:p>
            <w:pPr>
              <w:spacing w:after="0"/>
              <w:rPr>
                <w:sz w:val="9"/>
                <w:szCs w:val="9"/>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standardization process that this</w:t>
            </w:r>
          </w:p>
        </w:tc>
        <w:tc>
          <w:tcPr>
            <w:tcW w:w="0" w:type="dxa"/>
            <w:vAlign w:val="bottom"/>
          </w:tcPr>
          <w:p>
            <w:pPr>
              <w:spacing w:after="0"/>
              <w:rPr>
                <w:sz w:val="1"/>
                <w:szCs w:val="1"/>
                <w:color w:val="auto"/>
              </w:rPr>
            </w:pPr>
          </w:p>
        </w:tc>
      </w:tr>
      <w:tr>
        <w:trPr>
          <w:trHeight w:val="104"/>
        </w:trPr>
        <w:tc>
          <w:tcPr>
            <w:tcW w:w="1360" w:type="dxa"/>
            <w:vAlign w:val="bottom"/>
            <w:vMerge w:val="continue"/>
          </w:tcPr>
          <w:p>
            <w:pPr>
              <w:spacing w:after="0"/>
              <w:rPr>
                <w:sz w:val="9"/>
                <w:szCs w:val="9"/>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Main Line</w:t>
            </w: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cameras with</w:t>
            </w:r>
          </w:p>
        </w:tc>
        <w:tc>
          <w:tcPr>
            <w:tcW w:w="4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Won the RDSO tender in India</w:t>
            </w:r>
          </w:p>
        </w:tc>
        <w:tc>
          <w:tcPr>
            <w:tcW w:w="2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ELTA Systems</w:t>
            </w:r>
          </w:p>
        </w:tc>
        <w:tc>
          <w:tcPr>
            <w:tcW w:w="1800" w:type="dxa"/>
            <w:vAlign w:val="bottom"/>
            <w:gridSpan w:val="3"/>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4160" w:type="dxa"/>
            <w:vAlign w:val="bottom"/>
            <w:gridSpan w:val="2"/>
            <w:vMerge w:val="continue"/>
          </w:tcPr>
          <w:p>
            <w:pPr>
              <w:spacing w:after="0"/>
              <w:rPr>
                <w:sz w:val="9"/>
                <w:szCs w:val="9"/>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competitor has initiated.</w:t>
            </w: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integrated AI.</w:t>
            </w:r>
          </w:p>
        </w:tc>
        <w:tc>
          <w:tcPr>
            <w:tcW w:w="4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Disadvantages:</w:t>
            </w:r>
          </w:p>
        </w:tc>
        <w:tc>
          <w:tcPr>
            <w:tcW w:w="2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Ltd</w:t>
            </w: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4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3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   To the best of our knowledge, the system is</w:t>
            </w:r>
          </w:p>
        </w:tc>
        <w:tc>
          <w:tcPr>
            <w:tcW w:w="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320"/>
        <w:spacing w:after="0"/>
        <w:rPr>
          <w:sz w:val="20"/>
          <w:szCs w:val="20"/>
          <w:color w:val="auto"/>
        </w:rPr>
      </w:pPr>
      <w:r>
        <w:rPr>
          <w:rFonts w:ascii="Times New Roman" w:cs="Times New Roman" w:eastAsia="Times New Roman" w:hAnsi="Times New Roman"/>
          <w:sz w:val="18"/>
          <w:szCs w:val="18"/>
          <w:color w:val="auto"/>
        </w:rPr>
        <w:t>still under development</w:t>
      </w:r>
    </w:p>
    <w:p>
      <w:pPr>
        <w:sectPr>
          <w:pgSz w:w="11900" w:h="16838" w:orient="portrait"/>
          <w:cols w:equalWidth="0" w:num="1">
            <w:col w:w="11240"/>
          </w:cols>
          <w:pgMar w:left="320" w:top="657" w:right="3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system is based</w:t>
            </w:r>
          </w:p>
        </w:tc>
        <w:tc>
          <w:tcPr>
            <w:tcW w:w="420" w:type="dxa"/>
            <w:vAlign w:val="bottom"/>
          </w:tcPr>
          <w:p>
            <w:pPr>
              <w:spacing w:after="0"/>
              <w:rPr>
                <w:sz w:val="19"/>
                <w:szCs w:val="19"/>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Advantages:</w:t>
            </w: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Tooltech Gboal</w:t>
            </w:r>
          </w:p>
        </w:tc>
        <w:tc>
          <w:tcPr>
            <w:tcW w:w="1380" w:type="dxa"/>
            <w:vAlign w:val="bottom"/>
          </w:tcPr>
          <w:p>
            <w:pPr>
              <w:spacing w:after="0"/>
              <w:rPr>
                <w:sz w:val="18"/>
                <w:szCs w:val="18"/>
                <w:color w:val="auto"/>
              </w:rPr>
            </w:pPr>
          </w:p>
        </w:tc>
        <w:tc>
          <w:tcPr>
            <w:tcW w:w="2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an array of day</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Similar technology concept to our technology</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Main Line</w:t>
            </w: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camera, Thermal</w:t>
            </w:r>
          </w:p>
        </w:tc>
        <w:tc>
          <w:tcPr>
            <w:tcW w:w="420" w:type="dxa"/>
            <w:vAlign w:val="bottom"/>
          </w:tcPr>
          <w:p>
            <w:pPr>
              <w:spacing w:after="0"/>
              <w:rPr>
                <w:sz w:val="9"/>
                <w:szCs w:val="9"/>
                <w:color w:val="auto"/>
              </w:rPr>
            </w:pPr>
          </w:p>
        </w:tc>
        <w:tc>
          <w:tcPr>
            <w:tcW w:w="3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Disadvantages:</w:t>
            </w:r>
          </w:p>
        </w:tc>
        <w:tc>
          <w:tcPr>
            <w:tcW w:w="0" w:type="dxa"/>
            <w:vAlign w:val="bottom"/>
          </w:tcPr>
          <w:p>
            <w:pPr>
              <w:spacing w:after="0"/>
              <w:rPr>
                <w:sz w:val="1"/>
                <w:szCs w:val="1"/>
                <w:color w:val="auto"/>
              </w:rPr>
            </w:pPr>
          </w:p>
        </w:tc>
      </w:tr>
      <w:tr>
        <w:trPr>
          <w:trHeight w:val="112"/>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Engineering</w:t>
            </w:r>
          </w:p>
        </w:tc>
        <w:tc>
          <w:tcPr>
            <w:tcW w:w="138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3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camera, and Lidar</w:t>
            </w: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 the best of our knowledge, the system is</w:t>
            </w:r>
          </w:p>
        </w:tc>
        <w:tc>
          <w:tcPr>
            <w:tcW w:w="0" w:type="dxa"/>
            <w:vAlign w:val="bottom"/>
          </w:tcPr>
          <w:p>
            <w:pPr>
              <w:spacing w:after="0"/>
              <w:rPr>
                <w:sz w:val="1"/>
                <w:szCs w:val="1"/>
                <w:color w:val="auto"/>
              </w:rPr>
            </w:pPr>
          </w:p>
        </w:tc>
      </w:tr>
      <w:tr>
        <w:trPr>
          <w:trHeight w:val="90"/>
        </w:trPr>
        <w:tc>
          <w:tcPr>
            <w:tcW w:w="13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still under development</w:t>
            </w:r>
          </w:p>
        </w:tc>
        <w:tc>
          <w:tcPr>
            <w:tcW w:w="0" w:type="dxa"/>
            <w:vAlign w:val="bottom"/>
          </w:tcPr>
          <w:p>
            <w:pPr>
              <w:spacing w:after="0"/>
              <w:rPr>
                <w:sz w:val="1"/>
                <w:szCs w:val="1"/>
                <w:color w:val="auto"/>
              </w:rPr>
            </w:pPr>
          </w:p>
        </w:tc>
      </w:tr>
      <w:tr>
        <w:trPr>
          <w:trHeight w:val="220"/>
        </w:trPr>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Advantages: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Thales is a major player within the railways</w:t>
            </w:r>
          </w:p>
        </w:tc>
        <w:tc>
          <w:tcPr>
            <w:tcW w:w="0" w:type="dxa"/>
            <w:vAlign w:val="bottom"/>
          </w:tcPr>
          <w:p>
            <w:pPr>
              <w:spacing w:after="0"/>
              <w:rPr>
                <w:sz w:val="1"/>
                <w:szCs w:val="1"/>
                <w:color w:val="auto"/>
              </w:rPr>
            </w:pPr>
          </w:p>
        </w:tc>
      </w:tr>
      <w:tr>
        <w:trPr>
          <w:trHeight w:val="216"/>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Thales Group</w:t>
            </w:r>
          </w:p>
        </w:tc>
        <w:tc>
          <w:tcPr>
            <w:tcW w:w="1380" w:type="dxa"/>
            <w:vAlign w:val="bottom"/>
          </w:tcPr>
          <w:p>
            <w:pPr>
              <w:spacing w:after="0"/>
              <w:rPr>
                <w:sz w:val="18"/>
                <w:szCs w:val="18"/>
                <w:color w:val="auto"/>
              </w:rPr>
            </w:pPr>
          </w:p>
        </w:tc>
        <w:tc>
          <w:tcPr>
            <w:tcW w:w="2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Based on a daylight</w:t>
            </w:r>
          </w:p>
        </w:tc>
        <w:tc>
          <w:tcPr>
            <w:tcW w:w="420" w:type="dxa"/>
            <w:vAlign w:val="bottom"/>
          </w:tcPr>
          <w:p>
            <w:pPr>
              <w:spacing w:after="0"/>
              <w:rPr>
                <w:sz w:val="18"/>
                <w:szCs w:val="18"/>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industry with high technological and financial</w:t>
            </w: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Main Line</w:t>
            </w: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camera with AI</w:t>
            </w:r>
          </w:p>
        </w:tc>
        <w:tc>
          <w:tcPr>
            <w:tcW w:w="420" w:type="dxa"/>
            <w:vAlign w:val="bottom"/>
          </w:tcPr>
          <w:p>
            <w:pPr>
              <w:spacing w:after="0"/>
              <w:rPr>
                <w:sz w:val="9"/>
                <w:szCs w:val="9"/>
                <w:color w:val="auto"/>
              </w:rPr>
            </w:pPr>
          </w:p>
        </w:tc>
        <w:tc>
          <w:tcPr>
            <w:tcW w:w="3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capabilities.</w:t>
            </w:r>
          </w:p>
        </w:tc>
        <w:tc>
          <w:tcPr>
            <w:tcW w:w="0" w:type="dxa"/>
            <w:vAlign w:val="bottom"/>
          </w:tcPr>
          <w:p>
            <w:pPr>
              <w:spacing w:after="0"/>
              <w:rPr>
                <w:sz w:val="1"/>
                <w:szCs w:val="1"/>
                <w:color w:val="auto"/>
              </w:rPr>
            </w:pPr>
          </w:p>
        </w:tc>
      </w:tr>
      <w:tr>
        <w:trPr>
          <w:trHeight w:val="108"/>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(RailBot)</w:t>
            </w:r>
          </w:p>
        </w:tc>
        <w:tc>
          <w:tcPr>
            <w:tcW w:w="138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capabilities</w:t>
            </w:r>
          </w:p>
        </w:tc>
        <w:tc>
          <w:tcPr>
            <w:tcW w:w="420" w:type="dxa"/>
            <w:vAlign w:val="bottom"/>
          </w:tcPr>
          <w:p>
            <w:pPr>
              <w:spacing w:after="0"/>
              <w:rPr>
                <w:sz w:val="11"/>
                <w:szCs w:val="11"/>
                <w:color w:val="auto"/>
              </w:rPr>
            </w:pPr>
          </w:p>
        </w:tc>
        <w:tc>
          <w:tcPr>
            <w:tcW w:w="3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Disadvantages:</w:t>
            </w:r>
          </w:p>
        </w:tc>
        <w:tc>
          <w:tcPr>
            <w:tcW w:w="0" w:type="dxa"/>
            <w:vAlign w:val="bottom"/>
          </w:tcPr>
          <w:p>
            <w:pPr>
              <w:spacing w:after="0"/>
              <w:rPr>
                <w:sz w:val="1"/>
                <w:szCs w:val="1"/>
                <w:color w:val="auto"/>
              </w:rPr>
            </w:pPr>
          </w:p>
        </w:tc>
      </w:tr>
      <w:tr>
        <w:trPr>
          <w:trHeight w:val="90"/>
        </w:trPr>
        <w:tc>
          <w:tcPr>
            <w:tcW w:w="13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the best of the Company’s knowledge, the</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ranges are lower than our system.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 standardization process that this competitor has initiated.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 standardization process that this competitor has initiated.</w:t>
      </w:r>
    </w:p>
    <w:p>
      <w:pPr>
        <w:spacing w:after="0" w:line="716" w:lineRule="exact"/>
        <w:rPr>
          <w:sz w:val="20"/>
          <w:szCs w:val="20"/>
          <w:color w:val="auto"/>
        </w:rPr>
      </w:pPr>
    </w:p>
    <w:p>
      <w:pPr>
        <w:sectPr>
          <w:pgSz w:w="11900" w:h="16838" w:orient="portrait"/>
          <w:cols w:equalWidth="0" w:num="2">
            <w:col w:w="8660" w:space="240"/>
            <w:col w:w="2340"/>
          </w:cols>
          <w:pgMar w:left="320" w:top="657"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competitive approach is in developing a unique know-how, achieving an advantage and differentiating our railway detection system technology by incorporating advanced technological solutions. We believe that the railway detection system we are developing can provide an effective economic solution for our customers, which includes a return of the investment brought about by the railway detection system’s contribution to the train’s increased safety, the prevention of accidents and unplanned delays in train traffic, and improving the accuracy of railway operations, all of which can save railway operators extensive operating costs.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Another advantage is the extensive knowhow of integrating our systems to a variety of different types of locomotives. Throughout our installations worldwide, we have gained substantial experience on how to integrate our system onto a wide variety of locomotives.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Another advantage of our railway detection system is the option, to use the system as an aid to predictive maintenance of railway infrastructure due to the system’s continuous monitoring of the railway tracks on which it travels.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Apart from that, we engage the competitive landscape by developing new products, and to the extent that such developments are successfully completed, these products will enable us to face the competition. To provide our customers with additional added value, we are aiming at increasing our product offering with maintenance, predictive maintenance, data and GIS services, which may be added on top of our existing system components to make our railway detection system more attractive to the customer.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our railway detection system regularly monitors railway infrastructures and tracks, the system can record and store visual information. Huge amounts of data are built up (Big Data) which, subject to contractual and legal restrictions, could be available to customers for purposes such as identifying possible gaps and faults in tracks and other infrastructure, and updating maps.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 autonomous train industry continues to develop, regulators, including the FRA and the ERA, may adapt existing regulations and create new ones in order to ensure the compatibility of autonomous trains and autonomous train technology with regulatory expectations, requirements relating to safety and legal liability. On March 29, 2018, for instance, the FRA issued a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subject to a number of laws and regulations that involve matters central to our business. These laws and regulations involve privacy, data protection, intellectual property, competition, and other subjects. Many of the laws and regulations to which we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global laws and regulations have continued to develop and evolve rapidly, it is possible that we may not be, or may not have been, compliant with each such applicable law or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seek patent protection as well as other effective intellectual property rights for our products and technologies in the United States and internationally. Our policy is to pursue, maintain and defend intellectual property rights developed internally and to protect the technology, inventions and improvements that are commercially important to the development of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26 registered patents and 11 pending patent applications. Failure to gain approval for the patent applications filed by us or a change in the patents granted to us, in whole or in part, and the promotion and creation of alternative technologies to our technology, may adversely affect our status and ability to sell the system developed by it.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provisional patent application is a preliminary application that establishes a priority date for the patenting process for the invention concerned and provide certain provisional patent rights.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 Despite our efforts to protect our intellectual property,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For more information, please see “Item 3.D–Risk Factors—Risks Related to our Intellectual Property.”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may be exposed to claims and/or suits regarding the use of proprietary rights of third parties who received approval for the registration of a patent in respect of an application which had already been filed when we made use of such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party to any pending material legal proceedings. From time to time, we may become a party to litigation incident to the ordinary course of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30, 2025, we have five (5) senior management positions, all of whom are engaged on a full-time basis. In addition to our senior management, we have forty seven (47) employees in full or part-time capacities. All our employees are located in Israel.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believe that we maintain good relations with all our employees. However, in Israel, we are subject to certain Israeli labor laws, regulations and national labor court precedent rulings, as well as certain provisions of collective bargaining agreements applicable to us by virtue of extension orders issued in accordance with relevant labor laws by the Israeli Ministry of Economy and which apply such agreement provisions to our employees even though they are not part of a union that has signed a collective bargaining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employment and consulting agreements include employees’ and consultants’ undertakings with respect to non-competition and assignment to us of intellectual property rights developed in the course of employment and confidentiality. The enforceability of such provisions is subject to Israeli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have no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which includes our offices and research and development facility, is located at 15 Ha’Tidhar St., Ra’anana 4366517, Israel, where we currently occupy approximately 16,900 square feet. We lease our facilities for a monthly rent of approximately NIS 83,000 (approximately $26,000) and our current lease period ends in September 2026. At the end of the initial term, we have the option to extend the lease period for an additional five years from September 9, 2026, to September 8, 2031, with a monthly rent of between NIS 96,000 (approximately $30,000) and NIS 102,000 (approximately $32,000) over the additional lease period. All the amounts are linked to the Israeli Consumer Price Index.</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consider our current space sufficient to meet our anticipated needs for the foreseeable future and believe our current space is suitable for the conduct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included elsewhere in this annual report.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 including those identified in “Cautionary Note Regarding Forward-Looking Statements” and under “Risk Factors” elsewhere in this annual report. The following discussion of the financial condition and results of operations is for the years ended December 31, 2024 and 2023. Discussion regarding our financial condition and results of operations for the year ended December 31, 2023 as compared to the year ended December 31, 2022 is included in Item 5 of our Annual Report on Form 20-F for the year ended December 31, 2023, filed with the SEC on March 28,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early commercialization stage technology company that is seeking to revolutionize railway safety and the data-related market. We have developed cutting edge, AI based, industry-leading detection technology specifically designed for railways. We have developed our railway detection and systems to save lives, increase efficiency, and dramatically reduce expenses for the railway operator.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currently engaged on a number of projects where we are equipping certain customers with up to 10 systems each and in a pilot phase with several industry leading railway operators as we seek to move to the next stage of receiving commercial roll out orders as we continue our transition of an early commercialization stage company.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 To date, we have not generated significant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personnel expenses (including share-based payment), subcontractor’s expenses and other related research and development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w:t>
            </w: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29"/>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15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4,216</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5,671</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Subcontracted work and consulting</w:t>
            </w: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consumables</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 expenses</w:t>
            </w:r>
          </w:p>
        </w:tc>
        <w:tc>
          <w:tcPr>
            <w:tcW w:w="1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5,279</w:t>
            </w:r>
          </w:p>
        </w:tc>
        <w:tc>
          <w:tcPr>
            <w:tcW w:w="3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expenses, share-based payment, professional service fees for accounting, legal and bookkeeping, facilities, travel expenses and other general and administrative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discloses the breakdown of general and administrative expenses: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1,733</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126</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1,593</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other</w:t>
            </w:r>
          </w:p>
        </w:tc>
        <w:tc>
          <w:tcPr>
            <w:tcW w:w="2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2024, to the Year Ended December 31, 2023</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(5,279)</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(4,175)</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 income:</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Revaluation of derivatives and warrants liabilities</w:t>
            </w:r>
          </w:p>
        </w:tc>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(20,181)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income (expenses), net</w:t>
            </w:r>
          </w:p>
        </w:tc>
        <w:tc>
          <w:tcPr>
            <w:tcW w:w="2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(1,523)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for the year ended December 31, 2024, amounted to $1,300,000 representing an increase of $1,158,000 or 815% compared to $142,000 for the year ended December 31, 2023. The revenues for the year ended December 31, 2024, were generated primarily from the LATAM mining company that purchased a Rail Vision Main Line System, the first installation of Rail Vision’s Main Line Systems for Israel Railways and the successful delivery and installation of Rail Vision’s Shunting Yard systems to Loram and a Class 1 US Railroad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for the year ended December 31, 2024, amounted to $5,279,000 representing a decrease of $1,866,00 or 26.1 % as compared to $7,145,000 for the year ended December 31, 2023. This decrease was primarily attributable to a decrease of $1,455,000 in salaries and related personnel expenses due to a reduction in workforce, including a reduction in our employee base by 12 R&amp;D employees, and a decrease of $405,000 in R&amp;D equipment purchases.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totaled $4,175,000 for the year ended December 31, 2024, representing a decrease of $164,000 or 3.8% compared to $4,339,000 for the year ended December 31, 2023. This decrease was primarily attributable to a decrease in salaries as part of the process of reducing costs as mentioned above and a decrease in share-based payment expenses of grants which were fully vested or forfeited in 2024.</w:t>
      </w:r>
    </w:p>
    <w:p>
      <w:pPr>
        <w:sectPr>
          <w:pgSz w:w="11900" w:h="16838" w:orient="portrait"/>
          <w:cols w:equalWidth="0" w:num="1">
            <w:col w:w="11240"/>
          </w:cols>
          <w:pgMar w:left="320" w:top="634" w:right="339" w:bottom="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operating loss for the year ended December 31, 2024, was $9,004,000 compared to an operating loss of $11,403,000 for the year ended December 31, 2023, a decrease of $2,399,000 or 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 and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Revaluation of derivatives and warrants liabilities expenses</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recorded expenses in amount of $20,181,000 due to the revaluation of derivatives and warrants liabilities, mainly in connection with warrants issued in a private placement and a convertible loan credit facility that we entered into in January 2024. For the year ended December 31, 2023, we did not incur any expenses related to revaluation of derivatives and warrants liabilities.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expenses and income</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Our other financial expenses amounted to $1,523,00 for the year ended December 31, 2024, a decrease of $1,778,000, or 697%, compared to $255,000 other financial income for the year ended December 31, 2023. The decrease was primarily attributable to the full amortization of discount related to a convertible loan credit facility that we entered into in January 2024 and the SEPA set up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for the year ended December 31, 2024, was $29,000,000 compared to $11,148,000 for the year ended December 31, 2023, an increase of $18,552,000 or 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through December 31, 2024, we have funded our operations principally with approximately $86 million (net of issuance expenses) from the issuance of ordinary shares, preferred shares, and warrants in public and private offerings. As of December 31, 2024, we had approximately $17.5 in cash and cash equivalents.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presents our cash flows for the periods indicated: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of USD)</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(9,682)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23,918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5,397</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14,179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$9,682,000 during the year ended December 31, 2024, was primarily used for payment of an aggregate of approximately $5,949,000 in salaries and related personnel expenses. The remaining amount of approximately $3,733 was used for professional services, marketing, travel, rent and other miscellaneous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$10,518,000 during the year ended December 31, 2023, was primarily used for payment of an aggregate of approximately $7,486,000 in salaries and related personnel expenses. The remaining amount of approximately $3,032,000 was used for professional services, marketing, travel, rent and other miscellaneous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of $30,000 during 2024 and $152,000 during 2023, primarily reflected the purchase of fixed assets in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year ended December 31, 2024, consisted of $23,918,000 primarily in proceeds from the issuance of ordinary shares and warrants, net of issuance expenses (including in relation to the SEPA (as defined below) and the January 2024 PIPE) and proceeds from exercise of warrants that were issued in connection with the January 2024 PIPE and January 2024 Facility Warrants.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year ended December 31, 2023, consisted of $5,397,000 in proceeds from the issuance of ordinary shares and warrants, net of issuance expenses, from a series of transactions we executed in May 2023 as detailed below. See “Registered Direct Offering and Concurrent Private Placement of Warrants (May 2023)” and “Private Placement of Ordinary Shares and Warrants (May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 (October 2024)</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7, 2024, we entered into a Standby Equity Purchase Agreement, or SEPA, with YA II PN, LTD., a Cayman Islands exempt limited partnership, or Yorkville.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we have the right, but not the obligation, to sell to Yorkville from time to time, or Advance, up to $20.0 million, or the Initial Commitment Amount, of our ordinary shares during the 36 months following the execution of the SEPA, subject to the restrictions and satisfaction of the conditions in SEPA. On February 26, 2025, we and Yorkville entered into an amendment to the SEPA to increase the Initial Commitment Amount to $30.0 million of our ordinary shares, or the Commitment Amount. At our option, the ordinary shares would be purchased by Yorkville from time to time at a price equal to 97% of the lowest of the three daily VWAPs (as hereinafter defined) during a three consecutive trading day period commencing on the date that the Company, subject to certain limitations, deliver a notice to Yorkville that we are committing Yorkville to purchase such ordinary shares, or Advance Shares. The Company may also specify a certain minimum acceptable price per share in each Advance. For the purposes of the SEPA, “VWAP” means, for any trading day, the daily volume weighted average price of the Company’s Ordinary Shares for such trading day on the Nasdaq Stock Market during regular trading hours as reported by Bloomberg L.P. As consideration for Yorkville’s irrevocable commitment to purchase our ordinary shares up to the Commitment Amount, we issued 288,684 ordinary shares, or the Commitment Shares, to Yorkville and also paid a $10,000 structuring fee to an affiliate of Yorkville.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SEPA, Yorkville shall not be obligated to purchase or acquire any ordinary shares under the SEPA which, when aggregated with all other ordinary shares beneficially owned by Yorkville and its affiliates, would result in the beneficial ownership of Yorkville and its affiliates (on an aggregated basis) to exceed 4.99% of the then outstanding voting power or number of our ordinary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mutual agreement of us and Yorkville, Yorkville may advance us up to an aggregate of $3.0 million of the Commitment Amount, which will be evidenced in the form of a promissory note in one or more tranches and in the amounts that the Company sets forth in such request. Each promissory note will mature on the twelve-month anniversary from the issuance date. Each promissory note accrues interest at a rate of 5%, will be issued with a 5% original issue discount, and will be repaid in 10 equal monthly installments beginning on the 60th day following the date of such promissory note’s date of issuance. Each promissory note may be repaid with the proceeds of an Advance or series of Advances under the SEPA or repaid in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0" w:name="page61"/>
    <w:bookmarkEnd w:id="6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issued an aggregate of 22,210,892 ordinary shares to Yorkville as Advance Shares (not including the Commitment Shares) for aggregate gross proceeds of approximately $18.3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(January 2024)</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18, 2024, we entered into a binding term sheet directly with a global investment firm, or the Lead Investor, for the purchase and sale in a private placement, or the January 2024 PIPE, of units, or the Units, consisting of (i) one of our ordinary shares and/or pre-funded warrants to purchase our ordinary shares and (ii) one and a half warrants to purchase our ordinary shares to the Lead Investor and other investors, collectively, the Investors, of a minimum of $2.5 million of Units and up to a maximum of $3 million of Units. The January 2024 PIPE closed on January 31, 2024 following the execution of definitive documentation between us and the Investors.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January 2024 PIPE, the Investors purchased $3.0 million of Units consisting of (A) (i) 1,651,458 of ordinary shares and/or (ii) pre-funded warrants to purchase up to 1,394,999 ordinary shares, or the January 2024 PIPE Pre-Funded Warrants and (B) warrants to purchase up to 4,569,688 ordinary shares, or the January 2024 Warrants. The purchase price per Unit is $0.98475. The January 2024 PIPE Pre-Funded Warrants are immediately exercisable at an exercise price of $0.0001 per ordinary share, subject to certain adjustments and certain anti-dilution protection set forth therein, and will not expire until exercised in full. The January 2024 PIPE Ordinary Share Warrants are exercisable upon issuance at an exercise price of $0.98475 per ordinary share, subject to certain adjustments and certain anti-dilution protection set forth therein, and have a 5.5-year term from the issuance date.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January 2024 PIPE, we exercised our conversion right, or the Conversion Right, pursuant to the Facility Agreement (as defined below) to convert $500,000 of the Credit Facility (as defined below) as a portion of the January 2024 Conversion Loan Amount (as defined below). Following such conversion, we issued to the Lender (as defined below) (i) a pre-funded warrant to purchase up to 507,743 ordinary shares, or the Facility Conversion Pre-Funded Warrant and (ii) a warrant to purchase up to 761,615 ordinary shares, or the Facility Conversion Ordinary Share Warrant. The Facility Conversion Pre-Funded Warrant and the Facility Conversion Common Warrant are in substantially the same form and on substantially the same terms as the January 2024 PIPE Pre-Funded Warrant and January 2024 PIPE Ordinary Share Warrant, respectively. See “Item 7.B.— Major Shareholders and Related Party Transactions—Related Party Transactions—Pure Capital—Private Placement (January 2024)” for additional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all of the warrants and pre-funded warrants that were issued in connection with the January 2024 PIPE have been exercised in full consisting of 1,394,999 January 2024 PIPE Pre-Funded Warrants, 507,743 Facility Conversion Pre-Funded Warrants, 761,615 Facility Conversion Common Warrants and 4,569,688 January 2024 PIPE Warrants have been exercised resulting in gross proceeds of approximately $5.25 million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Credit Facility Agreement and Issuance of Warrant (January 2024)</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9, 2024, we entered into a facility agreement, or the Facility Agreement, for a $6 million credit facility, or the Credit Facility, and an additional amount up to $3 million, subject to certain conditions, or the Additional Loans, with a global investment firm, or the Lender, who was also an Investor in the January 2024 PIPE. The Credit Facility, which had an initial term of 10 months, accrued interest at a rate of 8% per annum, and the first payment of $1.5 million was drawn down upon execution of the Facility Agreement and the remaining amount was able to be drawn down in eight equal installments as of March 7, 2024. As detailed below, the Facility Agreement terminated on March 1,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Facility Agreement, the Lender’s financing obligations terminated in the event we drew down $7.5 million or more pursuant to an alternate credit facility or closes one or more equity financing transaction in an aggregate amount of at least $5 million. As of March 1, 2024, we had received aggregate gross proceeds of more than $5 million from the purchase of Units in the January 2024 Private Placement, the exercise of warrants issued in the January 2024 Private Placement and our exercise of the Conversion Right in the amount of $500,000. As a result, the Lender’s financing obligations have terminated pursuant to the terms of the Facility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we close one or more equity financing transactions in an aggregate amount of at least $5 million (including the conversion of the Credit Facility), we had the right to convert into ordinary share up to $1.5 million, including accrued interest, of a loan extended or to be extended to us by the Lender, or the January 2024 Conversion Loan Amount, in connection with and in the framework of a financing transaction of ours on the date that follows the date upon which we notified the Lender of such financing transaction, which conversion will occur upon the same terms. As of the date hereof, we had converted $500,000 of the Credit Facility as a portion of the January 2024 Conversion Loan Amount.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the Facility Agreement, we issued a warrant, or the January 2024 Facility Warrant, to the Lender to purchase 2,419,354 of our ordinary shares representing an aggregate exercise amount of $7.5 million, with a per share exercise price of $3.10, subject to certain adjustments and certain anti-dilution protection, representing a 150% premium of the closing share price of our ordinary shares on January 5, 2024. The January 2024 Facility Warrant is immediately exercisable upon issuance and has a term of 5 years from the date of issuance. Following the closing of the January 2024 PIPE, the exercise price of the January 2024 Facility Warrant was adjusted to $0.408 which is the effective price per ordinary share in the January 2024 PIPE, or the January 2024 Facility Warrant Adjusted Exercise Price, and the number of ordinary shares issuable upon the exercise of the January 2024 Facility Warrant was also adjusted to a total 18,382,353, or the January 2024 Facility Warrant Adjusted Shares, such that the product of the January 2024 Facility Warrant Adjusted Exercise Price and the January 2024 Facility Warrant Adjusted Shares is equal to an aggregate exercise amount of $7.5 million. As of the date of this Annual Report, 17,170,000 January 2024 Facility Warrants have been exercised resulting in gross proceeds of approximately $7.0 million to the Company. See “Item 7.B.—Major Shareholders and Related Party Transactions—Related Party Transactions—Pure Capital—Execution of Credit Facility Agreement and Issuance of Warrant (January 2024)”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 of Warrants (January 2024)</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2024, investors from our Private Placement (as defined below) from May 2023 exercised 493,424 Concurrent Warrants on a cashless basis. As a result of the cashless exercise, we issued 181,002 ordinary shares to such investors.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 and Concurrent Private Placement of Warrants (May 2023)</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10, 2023, we entered into definitive securities purchase agreements with investors for the purchase and sale of 493,421 ordinary shares, at a purchase price of $6.08 per unit in a registered direct offering, or the Registered Direct Offering. In a concurrent private placement, or the Private Placement, we also agreed to issue to the same investors a total of warrants to purchase an aggregate of 493,424 ordinary shares, or the Concurrent Warrants, at an exercise price of $6.72 per ordinary share. The transactions closed on May 11, 2023. The Concurrent Warrants were exercisable upon issuance and had a 5-year term from the initial issuance date and all of them have been exercised on a cashless basis as detailed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Ordinary Shares and Warrants (May 2023)</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 additional concurrent private placement with the Registered Direct Offering and Private Placement, or the KB Private Placement, we entered into a definitive securities purchase agreement for the purchase and sale of an aggregate of 493,421 ordinary shares and 5-year term common warrants to purchase an aggregate of 493,421 ordinary shares, or the KB Warrants, at a purchase price of $6.08 per unit, to Knorr-Bremse. The KB Warrants are exercisable at $6.72 per ordinary share. The KB Private Placement closed on June 21, 2023, following approval of such transaction by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proceeds from sales of our equity securities in public and private offerings, as well as a loan from a related party. We have incurred losses and generated negative cash flows from operations since inception in April 2016. Since inception, we have not generated significant revenues from the sale of products, and we do not expect to generate significant revenues from the sale of our products in the near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our cash and cash equivalents were $17.2 million. We expect that we will require substantial additional capital to complete the development of additional features of our system according to customers’ requirements, including algorithm optimization, cognitive layer development, system minimization and optical development, as well as to commercialize our products. In addition, our operating plans may change as a result of many factors that may currently be unknown to us, and we may need to seek additional funds sooner than planned. Our future capital requirements will depend on many factors, including:</w:t>
      </w:r>
    </w:p>
    <w:p>
      <w:pPr>
        <w:spacing w:after="0" w:line="183"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our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contracting with third parties to provide marketing and distribution services for us or for building such capacities internally;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our general and administrative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significant revenues from its activities and have incurred substantial operating losses. We expect that we will continue to generate substantial operating losses and will continue to fund our operations primarily through the utilization of our current financial resources, sales of our products, and through additional raises of capital.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we completed the January 2024 PIPE resulting in aggregate gross proceeds approximately $3.5 million, which includes approximately $0.5 million that we received upon the partial conversion of the Credit Facility. See “Item 5. Operating and Financial Review and Prospects —B. Operating Results— Financing Activities” for additional information. In addition, to date, we have received approximately $12.3 million (gross) as a result of the exercise of warrants issued in the January 2024 PIPE and the Credit Facility in January 2024 and approximately $18.3 million as a result of sales of 22,210,892 of our ordinary shares (not including the Commitment Shares) to Yorkville pursuant to the SEPA.</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cash and cash equivalents as of the issuance date of this annual report and the future expected cash flow from sales will be sufficient for at least 27 months of operations. Without derogating from the foregoing estimate regarding our existing capital resources and cash flows from operations, we may decide to raise additional funds in 2025. We believe that, if required, we will be able to raise additional capital or reduce discretionary spending to provide the required liquidity beyond the next twelve months.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“Item 3.D —Risk Factors.”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More than</w:t>
            </w:r>
          </w:p>
        </w:tc>
      </w:tr>
      <w:tr>
        <w:trPr>
          <w:trHeight w:val="238"/>
        </w:trPr>
        <w:tc>
          <w:tcPr>
            <w:tcW w:w="2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4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09"/>
        </w:trPr>
        <w:tc>
          <w:tcPr>
            <w:tcW w:w="2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(in thousands of U.S. dollars)</w:t>
            </w: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w:t>
            </w:r>
          </w:p>
        </w:tc>
        <w:tc>
          <w:tcPr>
            <w:tcW w:w="12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research and development programs and the amounts that we have incurred over the last two years pursuant to those programs, please see “Item 5. Operating and Financial Review and Prospects— A. Operating Results— Operating Expenses— Research and Development Expenses, net” and “Item 5. Operating and Financial Review and Prospects— A. Operating Results— Comparison of the year ended December 31, 2024 to the year ended December 31, 2023—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in “Item 5. Operating and Financial Review and Prospectus—Operating Results” and elsewhere in this Annual Report, we are not aware of any trends, uncertainties, demands, commitments or events for the period from January 1, 2024 to December 31, 2024 that are reasonably likely to have a material effect on our total revenues, income, profitability, liquidity or capital resources, or that caused the disclosed financial information to be not necessarily indicative of future operating results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more fully in Note 2 to our financial statements for the year ended December 31, 2024. We believe that the accounting policies below are critical in order to fully understand and evaluate our financial condition and results of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At the time of the preparation of the financial statements, our management is required to use estimates, evaluations, and assumptions which affect the application of the accounting policy and the amounts reported for assets, obligations, income, and expenses. Any estimates and assumptions are continually reviewed. The changes to the accounting estimates are credited during the period in which the change to the estimate is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Our management believes that the estimates, judgment and assumptions used are reasonable based upon information available at the time they are made. These estimates, judgment and assumptions can affect reported amounts and disclosures made. Actual results could differ from those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warrants liabilities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evaluated the warrants in accordance with ASC 815 “Derivatives and Hedging - Contracts in Entity’s Own Equity” (“ASC 815”) to determine whether warrants should be classified as liabilities or shareholders’ equity. In case that a provision in the warrant agreement related to certain tender or exchange offers precludes the warrants from being accounted for as components of equity, the Company will be classify as liability. This assessment, which requires the use of professional judgment, is conducted at the time of warrant issuance and as of each subsequent period end date while the warrants are outstanding. As the warrants meet the definition of a derivative as contemplated in ASC 815, the warrants are recorded as derivative liabilities on the balance sheet and measured at fair value at inception and at each reporting date thereafter in accordance with ASC 820 “Fair Value Measurement”, with changes in fair value recognized in the condensed statements of comprehensive loss in the period of change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ASC 815-40, contracts that are not indexed to the Company’s own equity are classified as liabilities recorded at fair value, As such, the Company classifies the SEPA Agreement entered into as a derivative instrument measured at fair value at each reporting period, as settlement provisions under this agreement are not indexed to the Company’s own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March 28,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Shahar Hania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Naveh</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Noam Shloper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Doron Cohadier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of Business Development and Marketing</w:t>
            </w:r>
          </w:p>
        </w:tc>
      </w:tr>
      <w:tr>
        <w:trPr>
          <w:trHeight w:val="216"/>
        </w:trPr>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Klir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of Research and Development</w:t>
            </w:r>
          </w:p>
        </w:tc>
      </w:tr>
      <w:tr>
        <w:trPr>
          <w:trHeight w:val="216"/>
        </w:trPr>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Yoresh (2)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 Class III Director</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Ariel Dor (2)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Hila Kiron-Revach (1)(2)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Yossi Daskal (1)(2)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Oz Adler (1)(2)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II Director</w:t>
            </w: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compensation committee.</w:t>
      </w:r>
    </w:p>
    <w:p>
      <w:pPr>
        <w:spacing w:after="0" w:line="225" w:lineRule="exact"/>
        <w:rPr>
          <w:rFonts w:ascii="Times New Roman" w:cs="Times New Roman" w:eastAsia="Times New Roman" w:hAnsi="Times New Roman"/>
          <w:sz w:val="18"/>
          <w:szCs w:val="18"/>
          <w:color w:val="auto"/>
        </w:rPr>
      </w:pPr>
    </w:p>
    <w:p>
      <w:pPr>
        <w:ind w:left="5540" w:right="5440" w:hanging="5532"/>
        <w:spacing w:after="0" w:line="409" w:lineRule="auto"/>
        <w:tabs>
          <w:tab w:leader="none" w:pos="33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 (as defined under Nasdaq Stock Market Listing Rules)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Senior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Shahar Hania, Chief Executive Officer</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Shahar Hania </w:t>
      </w:r>
      <w:r>
        <w:rPr>
          <w:rFonts w:ascii="Times New Roman" w:cs="Times New Roman" w:eastAsia="Times New Roman" w:hAnsi="Times New Roman"/>
          <w:sz w:val="18"/>
          <w:szCs w:val="18"/>
          <w:color w:val="auto"/>
        </w:rPr>
        <w:t>has served as our Chief Executive Officer since November 2020. Previously, Mr. Hania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from November 2020 to March 2022, and as our Vice President of Research and Development from April 2016 to March 2021. Mr. Hania is an electro-optics expert with vast experience (since 1994) in the fields of combined electro-optics systems, detection, infrared systems and lasers. Mr. Hania held senior system engineering positions in Bird Aerosystems Ltd. From April 2012 to May 2016, and Elbit Systems Electro-Optics ELOP Ltd. From 2000 to 2012. Mr. Hania holds a B.Sc. in Physics and Electro-optics engineering from the Jerusalem College of Technology, Israel and a M.Sc. in electro-optics engineering from Ben-Gurion University, Israel.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Ofer Naveh, Chief Financial Officer</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Ofer Naveh </w:t>
      </w:r>
      <w:r>
        <w:rPr>
          <w:rFonts w:ascii="Times New Roman" w:cs="Times New Roman" w:eastAsia="Times New Roman" w:hAnsi="Times New Roman"/>
          <w:sz w:val="18"/>
          <w:szCs w:val="18"/>
          <w:color w:val="auto"/>
        </w:rPr>
        <w:t>has served as our Chief Financial Officer since June 2017. Mr. Naveh brings more than 20 years of experience in accounting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management in numerous financial roles at public companies traded in Israel and the United States. Mr. Naveh served as chief financial officer of Accel Solutions Group Ltd (formerly: Dolomite Holdings Ltd.), a public company organized under the laws of the State of Israel and listed on the Tel Aviv Stock Exchange, or the TASE, from 2010 through June 2017. Since March 2021, Mr. Naveh has served as an external director of Upsellon Brands Holdings Ltd (TASE: UPSL). Mr. Naveh holds a B.A. in Accounting and Business from the College of Management Academic Studies, Israel and a M.A. in Law from Bar-Ilan University, Israel. Mr. Naveh is a Certified Public Accountant in Israel.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Noam Shloper, Chief Operating Officer</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Noam Shloper </w:t>
      </w:r>
      <w:r>
        <w:rPr>
          <w:rFonts w:ascii="Times New Roman" w:cs="Times New Roman" w:eastAsia="Times New Roman" w:hAnsi="Times New Roman"/>
          <w:sz w:val="18"/>
          <w:szCs w:val="18"/>
          <w:color w:val="auto"/>
        </w:rPr>
        <w:t>has served as our Chief Operating Officer since November 2024 and served as our Head of QA, Homologation and Project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July 2019. Mr. Shloper has combined managerial experience of more than 20 years, of Executive Compliance &amp; Project management experience, working in a competitive, high technology environment for Product involved SW, Algo &amp; HW technology of both military and commercial applications. Mr. Shloper served as Director Quality Management of DRS Rada Technologies, a company focused on proprietary radar solutions and legacy avionics systems, from June 2017 till July 2019. Prior to that, Mr. Shloper has served as Quality Manager for Logic Industries Ltd. Mr. Shloper holds an Industrial and Management Engineer from Shenkar College of Engineering.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Doron Cohadier, Vice President of Business Development and Marketing</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Doron Cohadier </w:t>
      </w:r>
      <w:r>
        <w:rPr>
          <w:rFonts w:ascii="Times New Roman" w:cs="Times New Roman" w:eastAsia="Times New Roman" w:hAnsi="Times New Roman"/>
          <w:sz w:val="18"/>
          <w:szCs w:val="18"/>
          <w:color w:val="auto"/>
        </w:rPr>
        <w:t>has served as our Vice President of Business Development and marketing since September 2024. Mr. Cohadier has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years of managerial experience, mainly in the field of business development. Prior to joining us, from 2017 to 2024, Mr. Cohadier worked as Vice President of Business Development of Foresight Autonomous Holdings Ltd. (Nasdaq and TASE: FRSX), a technology company developing smart multi-spectral vision software solutions and cellular-based applications. Prior to that, from 2011 to 2017, Mr. Cohadier served as a Director Business Development and Marketing of Elbit Systems Ltd. (Nasdaq, TASE: ESLT). Mr. Cohadier holds a B.Sc. in Industrial Engineering from Brunel University, London, and an Executive M.B.A. from the Recanati School of Business Administration of the Tel Aviv University.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Amit Klir, Vice President of Research and Development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Amit Klir </w:t>
      </w:r>
      <w:r>
        <w:rPr>
          <w:rFonts w:ascii="Times New Roman" w:cs="Times New Roman" w:eastAsia="Times New Roman" w:hAnsi="Times New Roman"/>
          <w:sz w:val="18"/>
          <w:szCs w:val="18"/>
          <w:color w:val="auto"/>
        </w:rPr>
        <w:t>has served as our Vice President of Technology, Research and Development since March 2021. Mr. Klir has more than 25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development and leadership of video and audio applications. Prior to joining us, Mr. Klir worked as the Head of Engineering at Continuse Biometrics Ltd., an innovative medical company, between May 2015 and March 2021. Mr. Klir holds a B.Sc. degree in Electric Engineering and Computers from the Ben Gurion University, Israel.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 Yoresh, Chairman of the Board of Directors, Class III Director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Eli Yoresh </w:t>
      </w:r>
      <w:r>
        <w:rPr>
          <w:rFonts w:ascii="Times New Roman" w:cs="Times New Roman" w:eastAsia="Times New Roman" w:hAnsi="Times New Roman"/>
          <w:sz w:val="18"/>
          <w:szCs w:val="18"/>
          <w:color w:val="auto"/>
        </w:rPr>
        <w:t>has served on our board of directors since August 2017 and was appointed as the Chairman in January 2024. Mr. Yoresh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seasoned executive with over 15 years of executive and financial management experience, mainly with companies in the financial, technology and industrial sectors. Mr. Yoresh has served as chief financial officer since March 2010, and as a director since October 2010 till 2019, at Foresight Autonomous Holdings Ltd. (Nasdaq and TASE: FRSX). Mr. Yoresh has served since September 2018, as a director and since February 2020 as the chairman of the board at Medigus Ltd. (Nasdaq: MDGS), since November 2020 as a director and since September 2022 as the chairman of the board of Gix Internet Ltd (TASE: GIX), since August 2021 as a director of Elbit Imaging Ltd (TASE: EMITF), and from September 2021 and until January 2025 as a director in Jeffs’ Brands Ltd. (Nasdaq: JFBR). Mr. Yoresh holds a B.A. in Business Administration from the College of Management, Israel and an M.A. in Law from Bar-Ilan University, Israel. Mr. Yoresh is a Certified Public Accountant in Israel.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Ariel Dor, Class I Director</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Ariel Dor </w:t>
      </w:r>
      <w:r>
        <w:rPr>
          <w:rFonts w:ascii="Times New Roman" w:cs="Times New Roman" w:eastAsia="Times New Roman" w:hAnsi="Times New Roman"/>
          <w:sz w:val="18"/>
          <w:szCs w:val="18"/>
          <w:color w:val="auto"/>
        </w:rPr>
        <w:t>has served on our board of directors since March 2024. Mr. Dor is a seasoned entrepreneur and leader in the fields of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From 2011 to 2013, Mr. Dor served as the Team Leader of the Aerospace division at Elbit Systems. From 2014 to 2015, he served as Business Unit Director at Galooli Fleet&amp; Energy, a subsidiary of the Galooli Group that specializes in IoT solutions for vehicles. Transitioning to the autonomous vehicle industry, Mr. Dor served as the Co-CEO of Foresight Autonomous Holdings from 2016 to 2019. In 2019, Mr. Dor founded Upsellon Brands Holdings and has served as its CEO since that time. Upsellon Brands is an innovative e-commerce dedicated to revolutionizing the landscape of Amazon FBA aggregation. Mr. Dor holds a B.Sc. in Electrical Engineering from the Tel Aviv University.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Hila Kiron-Revach, Class I Director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Ms. Hila Kiron-Revach </w:t>
      </w:r>
      <w:r>
        <w:rPr>
          <w:rFonts w:ascii="Times New Roman" w:cs="Times New Roman" w:eastAsia="Times New Roman" w:hAnsi="Times New Roman"/>
          <w:sz w:val="18"/>
          <w:szCs w:val="18"/>
          <w:color w:val="auto"/>
        </w:rPr>
        <w:t>has served on our board of directors since January 2024. Ms. Kiron-Revach has served as a member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Geffen Biomed Ltd. since 2014 and has been a member of the board of directors of Zmiha Investment House Ltd. since 2021. In 2021, Ms. Kiron-Revach served as a professional advisor to the chairman of the board of directors and acting secretary of Eilat Ashkelon Pipeline Company. From 2015 until 2021, Ms. Kiron-Revach served as a senior professional advisor to ministers in the Israeli government, including the minister of foreign affairs and minister of transportation. From 2012 until 2015, Ms. Kiron-Revach served as CEO of Hamil 38 – the Israeli Center for National Master Plan to Strengthen Existing Building in the Face of Earthquakes, Tama 38 Ltd. and as an attorney at Tabakman &amp; Co. Law Firm. In 2007, Ms. Kiron-Revach founded Eliya – AB and served as its chief executive officer until 2010. Ms. Kiron-Revach hold an LL.B. from the Netanya Academic College and is a licensed attorney in Israel.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Yossi Daskal, Class III Director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Daskal </w:t>
      </w:r>
      <w:r>
        <w:rPr>
          <w:rFonts w:ascii="Times New Roman" w:cs="Times New Roman" w:eastAsia="Times New Roman" w:hAnsi="Times New Roman"/>
          <w:sz w:val="18"/>
          <w:szCs w:val="18"/>
          <w:color w:val="auto"/>
        </w:rPr>
        <w:t>has served on our board of directors since March 2022. Mr. Daskal serves as the President of Israel-Canada Chamber of 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2013. From 2003 to 2019, Mr. Daskal established Bombardier Israel, working as Chief Country Representative, Project Manager, Financing&amp; Head of Sales. Prior to that, Mr. Daskal was the General Manager of Chemitron Technologies from 1999 to 2003. Since 2021, he is the chairman of the board of directors and the director of the finance committee of the Tel Aviv Museum of Art. Mr. Daskal has a Bachelors of Arts in Mediterranean and Arabic History Science and a Masters of Arts in Political Science, and is completing a PhD in Decision-Making from Haifa University.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Oz Adler, Class II Director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Adler </w:t>
      </w:r>
      <w:r>
        <w:rPr>
          <w:rFonts w:ascii="Times New Roman" w:cs="Times New Roman" w:eastAsia="Times New Roman" w:hAnsi="Times New Roman"/>
          <w:sz w:val="18"/>
          <w:szCs w:val="18"/>
          <w:color w:val="auto"/>
        </w:rPr>
        <w:t>has served on our board of directors since June 2022. Mr. Adler has served as the chief financial officer of SciSparc Ltd.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SPRC) since April 2018 and as its chief executive officer since January 2022. Prior to that, from September 2017 until March 2018, he served as the VP Finance of SciSparc. Additionally, Mr. Adler has experience in a wide variety of managerial, financial, tax and accounting roles. Mr Adler currently serves on the board of directors of numerous private, such as Jeff’s Brands Ltd. (Nasdaq: JFBR), Polyrizon Ltd. (Nasdaq: PLZR) and Clearmind (Nasdaq: CMND), (FSE: CWY), And previously served as the chief financial officer to Medigus Ltd. (Nasdaq: MDGS) from December 2020 to April 2021. From 2012 until 2017, Mr. Adler was employed as a certified public accountant at Kost Forer Gabbay &amp; Kasierer, a member of Ernst &amp; Young Global. Mr. Adler is a certified public accountant in Israel and holds a B.A. degree in Accounting and Business Management from The College of Management, Israel.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currently no family relationships between any members of our executive management and our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for Election of Directors and Members of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articles of association, as amended at our annual general meeting of shareholders held in September 2024, our directors (excluding External Directors (as defined in the Companies Law), to the extent External Directors are required to be elected and to serve on the board of directors pursuant to the requirements of the Companies Law) are divided into three classes with staggered three-year terms. Each class of directors consists, as nearly as possible, of one-third of the total number of directors constituting the entire board of directors. At each annual general meeting of our shareholders beginning in 2025, the election or re-election of directors following the expiration of the term of office of the directors of that class of directors will be for a term of office that expires on the third annual general meeting following such election or re-election.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External Directors (to the extent External Directors are required to be elected and to serve on the Board of Directors pursuant to the requirements of the Companies Law) will serve for up to three terms, each term of three years’ period and the election, qualification, removal or dismissal of External Directors, if elected, shall be only in accordance with the applicable provisions set forth in the Companies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6, 2024, our board of directors resolved to approve that, whereas the majority of the Company’s directors are independent and there is no controlling shareholder in the Company, the Company shall adopt all the reliefs under regulation 5D of the Companies Regulations (facilitation for companies whose securities are listed for trading on a stock exchange outside of Israel), 2000, releasing the Company from its obligations under sections 115, 116A, 118A, 219(c), 239(a), 243, and 249 of the Companies Law. According to the above reliefs, the Company is currently not obligated to appoint External Directors.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articles of association allow our board of directors to appoint directors to fill vacancies and as an addition to the board of directors (subject to the maximum number of directors). The office of a director that is appointed by the board of directors to fill any vacancy shall only serve on the board of directors for the remaining period of time during which the initial director whose service had ended would have held office, or in case of a vacancy due to the number of directors serving being less than the maximum number stated in Article 38 of our amended and restated articles of association, the board of directors shall determine at the time of appointment the class to which the additional director shall be assigned.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directors, other than external directors (if any were elected), may be re-elected for an unlimited number of terms upon completion of their then-current term of office.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with major shareholders, customers, suppliers or others pursuant to which any of our executive management or our directors were selected. See “Item 7.B.—Major Shareholders and Related Party Transactions—Related Party Transactions”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 the aggregate all compensation we paid to all of our directors and senior management as a group for the year ended December 31, 2024. The table does not include any amounts we paid to reimburse any of such persons for costs incurred in providing us with services during this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amounts reported in the table below reflect the cost to us in thousands of U.S. dollars, for the year ended December 31, 2024. Amounts paid in NIS are translated into U.S. dollars at the rate of NIS 3.70 = $1.00, based on the average representative rate of exchange between the NIS and the U.S. dollar as reported by the Bank of Israel in the year ended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Salary and</w:t>
            </w: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Similar</w:t>
            </w:r>
          </w:p>
        </w:tc>
        <w:tc>
          <w:tcPr>
            <w:tcW w:w="34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38"/>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Based Compensation</w:t>
            </w: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All directors and senior management as a group, consisting of 18*</w:t>
            </w:r>
          </w:p>
        </w:tc>
        <w:tc>
          <w:tcPr>
            <w:tcW w:w="2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(as of December 31,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1,319</w:t>
            </w: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2024, we announced that each of Mr. Shmuel Donnerstein, Ms. Inbal Kreiss and Ms. Keren Aslan tendered their resignations from our board of directors, and the board of directors had appointed Mr. Amitay Weiss and Ms. Hila Kiron-Revach to the board of directors. On March 12, 2024, Mr. Weiss resigned from our board of directors and that Mr. Ariel Dor was appointed to our board of directors. Mr. Donnerstein, Ms. Kreiss, Ms. Aslan and Mr. Weiss served on our board of directors during the year ended December 31, 2024. On March 25, 2024, Mr. Maximilian Eichhorn’s term as a member of our board of directors expired pursuant to Section 42(b) of our amended and restated articles of association, and March 28, 2024, at a meeting of our board of directors, Mr. Eichhorn was appointed to continue as an observer of the board of directors. On March 31, 2024, Mr. Ofer Grisaro (our former VP Sales and Marketing) resigned and on November 30, 2024 Mr. Zachi Bar-Yehoshua (our former COO) resigned. On January 22, 2025, Mr. Mark Cleobury informed us of his resignation from our board of directors, effective in February 2025. As a result, compensation paid to (or waived by) Mr. Donnerstein, Ms. Kreiss, Ms. Aslan, Mr. Weiss, Mr. Eichhorn, Mr. Grisaro, Mr. Bar-Yehoshua and Mr. Cleobury as of December 31, 2024, is included in the above table.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options to purchase 116,926 ordinary shares granted to our directors and executive officers were outstanding under our Option Plan at a weighted average exercise price of $14.8 per share. As of December 31, 2024, we had also issued an aggregate of 1,296,000 restricted share units, or RSUs, to our directors and executive officers under our Option Plan, of which 107,995 RSUs were vested as of such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30, 2024, our shareholders approved, following the approval of our board and our audit and compensation committee, the engagement by the Company in a service agreement with Mr. Eli Yoresh, in his capacity as the Chairman of the Board in accordance with the following terms: (1) the service agreement shall be effective as of July 1, 2024; (2) Mr. Yoresh shall provide the services in a scope reflecting a 30% full-time position; (3) in consideration of his services, Mr. Yoresh shall be entitled to a monthly fee of NIS 24,000 (plus VAT) (the “Monthly Fee”); (4) the Monthly Fee shall be automatically increased to NIS 30,000 (plus VAT) upon the Company’s raising capital investments of an aggregate amount of US$ 10 Million within a consecutive 12-month period, which was triggered as of January 1, 2025; and (5) effective as of 2025, Mr. Yoresh shall be entitled to an annual bonus of up to three (3) Monthly Fees, based on the achievement of certain measurable targets, as shall be determined in advance by the Company’s Compensation Committee and Board, at the beginning of each fiscal year.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on September 30, 2024, our shareholders approved, following the approval of our board and our audit and compensation committee, the grant of 191,000 RSUs to Mr. Yoresh. The RSUs shall be subject to a quarterly vesting over a period of 3 years (so that by the end of each quarter, 1/12 of the RSUs shall vest) provided that the grantee is engaged by the Company on the applicable vesting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on September 30, 2024, our shareholders approved, following the approval of our board and our audit and compensation committee, the grant of 50,000 RSUs to each of our Board members Mr. Oz Adler, Mr. Yossi Daskal, Mr. Ariel Dor and Mrs. Hila Kiron Revah, subject to a quarterly vesting over a period of 3 years (so that by the end of each quarter, 1/12 of the RSUs shall vest) provided that the grantee is continuing his/her office as Board member on the applicable vesting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Companies Law, we are required to disclose the compensation granted to our five most highly compensated officers. The table below reflects the compensation granted during or with respect to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 - Name and Principal Position (1) (2)</w:t>
            </w:r>
          </w:p>
        </w:tc>
        <w:tc>
          <w:tcPr>
            <w:tcW w:w="220" w:type="dxa"/>
            <w:vAlign w:val="bottom"/>
          </w:tcPr>
          <w:p>
            <w:pPr>
              <w:spacing w:after="0"/>
              <w:rPr>
                <w:sz w:val="18"/>
                <w:szCs w:val="18"/>
                <w:color w:val="auto"/>
              </w:rPr>
            </w:pPr>
          </w:p>
        </w:tc>
        <w:tc>
          <w:tcPr>
            <w:tcW w:w="18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and Related</w:t>
            </w:r>
          </w:p>
        </w:tc>
        <w:tc>
          <w:tcPr>
            <w:tcW w:w="1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Based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US dollars)</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Shahar Hania, CEO</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299(3)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Ofer Naveh, CFO</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Klir, VP R&amp;D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Zachi Bar-Yehoshua, former COO (5)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177(5)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Noam Shloper, COO</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bl>
    <w:p>
      <w:pPr>
        <w:spacing w:after="0" w:line="19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reported in the table are in terms of cost to us, as recorded in our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amounts denominated in NIS were converted into U.S. dollars at the average conversion rate for the year ended December 31,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one-time bonus to our Chief Executive Officer in the amount of NIS 56,000 (approximately $15,000).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one-time bonus to our Chief Financial Officer in the amount of NIS 96,000 (approximately $26,000)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Bar-Yehoshua resigned from the Company in November,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Service Agreements with Executive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written employment agreements and/or service agreements with each of our executive officers. These agreements are terminable by either party upon prior written notice ranging from 30 to 60 days.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 We contribute (usually following a trial period of three months) monthly amounts for the benefit and on behalf of all our employees located in Israel to a pension fund pursuant to Section 14 of Israel’s Severance Pay Law. Employees covered by Section 14 are entitled to monthly deposits at a rate of 8.33% of their monthly salary, made on their behalf by us. Payments in accordance with Section 14 release us from any future severance liabilities in respect of those employees. We do not set aside or accrue any additional amounts to provide pension, severance, retirement or other similar benefits or expenses. Most of our executive officers do not receive benefits upon the termination of their respective employment with us, other than benefits under Section 14.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Service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written agreements with any director providing for benefits upon the termination of his engagement with our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as of July 1, 2024, all members of the board of directors, who are not otherwise engaged by the Company, shall be entitled to the payment of a fixed annual fee in the amount of NIS 48,000 (plus VAT), which shall be paid in four quarterly installments of NIS 12,000, each; and member of the board of directors who also serves as members of the Company’s Audit and Compensation Committee shall be entitled to the payment of a fixed annual fee in the amount of NIS 56,000 (plus VAT), which shall be paid in four quarterly installments of NIS 14,000, each. In addition, certain of our directors were granted options to purchase 4,992 ordinary shares. The options are exercisable at a price per share of US$14.80. The options vest in three equal tranches over a three-year period, conditioned upon continuous service with the Company. Members of our board of directors may waive there right to receive the above fees or options or any part thereof, and director nominees may assign their right to remunerations to the shareholder that appointed them. Our directors are included in the Company’s Directors and Officers insurance policy and were issued letters of indemnification and exculpation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certain of our directors were granted 50,000 RSUs, vested over a three-year period conditioned upon continuous service with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amended and restated articles of association, our board of directors must consist of at least four (4) directors and not more than thirteen</w:t>
      </w:r>
    </w:p>
    <w:p>
      <w:pPr>
        <w:spacing w:after="0" w:line="27" w:lineRule="exact"/>
        <w:rPr>
          <w:sz w:val="20"/>
          <w:szCs w:val="20"/>
          <w:color w:val="auto"/>
        </w:rPr>
      </w:pPr>
    </w:p>
    <w:p>
      <w:pPr>
        <w:jc w:val="both"/>
        <w:ind w:firstLine="8"/>
        <w:spacing w:after="0" w:line="251" w:lineRule="auto"/>
        <w:tabs>
          <w:tab w:leader="none" w:pos="37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including at least two external directors if required to be appointed under the Companies Law. Pursuant to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services agreement that we have entered into with him. All other executive officers are appointed by our Chief Executive Officer. Their terms of employment are subject to the approval of the board of directors’ compensation committee and of the board of directors, as well as our shareholders in the event such terms deviate from our office holder compensation policy, and are subject to the terms of any applicable engagement agreements that we may enter into with them.</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Articles of Association, as amended at our annual general meeting of shareholders held in September 2024, our directors are divided into three classes with staggered three-year terms. Each class of directors consists, as nearly as possible, of one-third of the total number of directors constituting the entire board of directors. At each annual general meeting of our shareholders beginning in 2025, the election or re-election of directors following the expiration of the term of office of the directors of that class of directors will be for a term of office that expires on the third annual general meeting following such election or re-election. Each director holds office until the third annual general meeting of our shareholders and until his or her successor is duly appointed, unless the tenure of such director expires earlier pursuant to the Companies Law, or unless removed from office as described below.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directors are divided among three classes as follows:</w:t>
      </w:r>
    </w:p>
    <w:p>
      <w:pPr>
        <w:spacing w:after="0" w:line="225" w:lineRule="exact"/>
        <w:rPr>
          <w:sz w:val="20"/>
          <w:szCs w:val="20"/>
          <w:color w:val="auto"/>
        </w:rPr>
      </w:pPr>
    </w:p>
    <w:p>
      <w:pPr>
        <w:ind w:left="1300" w:hanging="320"/>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consisting of Mr. Ariel Dor and Ms. Hila Kiron-Revach, will hold office until our annual general meeting of shareholders to be held in 2025;</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consisting of Mr. Oz Adler, will hold office until our annual general meeting of shareholders to be held in 2026;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consisting of Mr. Eli Yoresh and Mr. Yossi Daskal, will hold office until our annual general meeting of shareholders to be held in 2027.</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under certain circumstances, our amended and restated articles of association allow our board of directors to appoint directors to fill vacancies on our board of directors or in addition to the acting directors (subject to the limitation on the number of directors). The office of a director that is appointed by the board of directors to fill any vacancy shall only serve on the board of directors for the remaining period of time during which the initial director whose service had ended would have held office, or in case of a vacancy due to the number of directors serving being less than the maximum number stated in Article 38 of our amended and restated articles of association, the board of directors shall determine at the time of appointment the class to which the additional director shall be assigned. External directors may be elected for up to two additional three-year terms after their initial three-year term under the circumstances described below, with certain exceptions as described below. External directors may be removed from office only under the limited circumstances set forth in the Companies Law. See “Item 6.C.—Directors, Senior Management and Employees—Board Practices—External Directors” below.</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Companies Law, any shareholder holding at least one percent of our outstanding voting power may request that the board of directors include a matter on the agenda of a general meeting to be held in the future, provided that the board determines that the matter is appropriate to be considered in a general meeting including in order to nominate a director in an annual shareholders meeting. Any such notice must include certain information, including the consent of the proposed director nominee to serve as our director if elected, and a declaration signed by the nominee declaring that he or she possess the requisite skills and has the availability to carry out his or her duties. Additionally, the nominee must provide details of such skills, and demonstrate an absence of any limitation under the Companies Law that may prevent his or her election, and affirm that all of the required election-information is provided to us, pursuant to the Companies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we must have at least one director with accounting and financial expertise.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may elect one director to serve as the chairman of the board of directors to preside at the meetings of the board of directors, and may also remove that director as chairman. Pursuant to the Companies Law, neither the chief executive officer nor any of his or her relatives is permitted to serve as the chairman of the board of directors of a public company, and a public company may not vest the chairman or any of his or her relatives with the chief executive officer’s authorities. In addition, a person who reports, directly or indirectly, to the chief executive officer may not serve as the chairman of the board of directors; the chairman may not be vested with authorities of a person who reports, directly or indirectly, to the chief executive officer; and the chairman may not serve in any other position in the company or a controlled company, but he or she may serve as a director or chairman of a controlled company. However, the Companies Law permits a company’s shareholders to determine, for a period not exceeding three years from each such determination, that the chairman or his or her relative may serve as chief executive officer or be vested with the chief executive officer’s authorities, and that the chief executive officer or his or her relative may serve as chairman or be vested with the chairman’s authorities. Such determination of a company’s shareholders requires either: (1) the approval of at least a majority of the shares of those shareholders present and voting on the matter (other than controlling shareholders and those having a personal interest in the determination) (shares held by abstaining shareholders shall not be considered); or (2) that the total number of shares opposing such determination does not exceed 2% of the total voting power in the company.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subject to the provisions of the Companies Law and certain limitations set forth therein, delegate its powers to committees of the board, and it may, from time to time, revoke such delegation or alter the composition of any such committees. Unless otherwise expressly provided by the board of directors, the committees shall not be empowered to further delegate such powers. The composition and duties of our audit and compensation committee are described below.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oversees how management monitors a company’s compliance with its risk management policies and procedures, and reviews the adequacy of the risk management framework in relation to the risks faced by a company. The board of directors is assisted in its oversight role by an internal auditor. The internal auditor undertakes both regular and ad hoc reviews of risk management controls and procedures, the results of which are reported to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6, 2024, our board of directors approved that, in case the majority of the Company’s directors are independent and there is no controlling shareholder in the Company, the Company shall adopt all the reliefs under regulation 5D of the Companies Regulations (facilitation for companies whose securities are listed for trading on a stock exchange outside of Israel), 2000, releasing the Company from its obligations under sections 115, 116A, 118A, 219(c), 239(a), 243, and 249 of the Israeli Companies Law. As of the date of this annual report, the Company has been afforded such relief because a majority of the Company’s directors are independent and there is no controlling shareholder in the Company and therefore the Company is currently not required to appoint external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regulations promulgated under the Companies law, at least one of the external directors is required to have “financial and accounting expertise,” unless another member of the audit committee, who is an independent director under the Nasdaq Listing Rules, has “financial and accounting expertise,” and the other external director or directors are required to have “professional expertise.” An external director may not be appointed to an additional term unless: (1) such director has “accounting and financial expertise;” or (2) he or she has “professional expertise,” and on the date of appointment for another term there is another external director who has “accounting and financial expertise” and the number of “accounting and financial experts” on the board of directors is at least equal to the minimum number determined appropriate by the board of directors. We have determined that Mr. Oz Adler has accounting and financial expertise.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director with accounting and financial expertise is a director who, due to his or her education, experience and skills, possesses a high degree of proficiency in, and an understanding of, business – accounting matters and financial statements, such that he or she is able to understand the financial statements of the company in depth and initiate a discussion about the manner in which financial data is presented. A director is deemed to have “professional expertise” if he or she holds an academic degree in certain fields or has at least five years of experience in certain senior positions. The board of directors is charged with determining whether a director possesses financial and accounting expertise or professional qualifications.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directors are elected by a majority vote at a shareholders’ meeting, so long as either:</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shareholders who are not controlling shareholders and do not have personal interest in the appointment (excluding a personal interest that did not result from the shareholder’s relationship with the controlling shareholder) have voted in favor of the proposal (shares held by abstaining shareholders shall not be considered);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voted against the election of the external director, does not exceed 2% of the aggregate voting rights of our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provides for an initial three-year term for an external director. Thereafter, an external director may be reelected by shareholders to serve in that capacity for up to two additional three-year terms, provided that:</w:t>
      </w:r>
    </w:p>
    <w:p>
      <w:pPr>
        <w:spacing w:after="0" w:line="162" w:lineRule="exact"/>
        <w:rPr>
          <w:sz w:val="20"/>
          <w:szCs w:val="20"/>
          <w:color w:val="auto"/>
        </w:rPr>
      </w:pPr>
    </w:p>
    <w:p>
      <w:pPr>
        <w:jc w:val="both"/>
        <w:ind w:left="98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service for each such additional term is recommended by one or more shareholders holding at least one percent of the company’s voting rights and is approved at a shareholders meeting by a disinterested majority, where the total number of shares held by non-controlling, disinterested shareholders voting for such reelection exceeds two percent of the aggregate voting rights in the company and subject to additional restrictions set forth in the Companies Law with respect to the affiliation of the external director nominee as described below;</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service for each such additional term is recommended by the board of directors and is approved at a shareholders meeting by the same disinterested majority required for the initial election of an external director (as described above);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director offered his or her service for each such additional term and was approved in accordance with the provisions of section (1) above.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of office for external directors for Israeli companies traded on certain foreign stock exchanges, including the Nasdaq Stock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if elected for the first time (as described above). Prior to the approval of the reelection of the external director at a general shareholders meeting, the company’s shareholders must be informed of the term previously served by him or her and of the reasons why the board of directors and audit committee recommended the extension of his or her term.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External directors may be removed only by a special general meeting of shareholders called by the board of directors after the board has determined that circumstances allow such dismissal, at the same special majority of shareholders required for their election or by a court, and in both cases only if the external directors cease to meet the statutory qualifications for their appointment or if they violate their duty of loyalty to our company. In the event of a vacancy created by an external director which causes the company to have fewer than two external directors, the board of directors is required under the Companies Law to call a shareholders meeting as soon as possible to appoint such number of new external directors in order that the company thereafter has two external directors.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with a holder of 5% or more of the issued share capital or voting power in the company or with the most senior financial officer.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“relative” is defined in the Companies Law as a spouse, sibling, parent, grandparent or descendant; spouse’s sibling, parent or descendant; and the spouse of each of the foregoing persons.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the term “affiliation” and the similar types of disqualifying relationships, as used above, include (subject to certain exceptions):</w:t>
      </w:r>
    </w:p>
    <w:p>
      <w:pPr>
        <w:spacing w:after="0" w:line="162"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 relationship;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or professional relationship even if not maintained on a regular basis (excluding insignificant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other than for his or her service as an external director as permitted by the Companies Law and the regulations promulgated thereunder.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a company may not be appointed as an external director of another company if at the same time a director of such other company is acting as an external director of the first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under regulations promulgated pursuant to the Companies Law, a company with no controlling shareholder whose shares are listed for trading on specified exchanges outside of Israel, including the Nasdaq Capital Market, may adopt exemptions from various corporate governance requirements of the Companies Law so long as such company satisfies the requirements of applicable foreign country laws and regulations, including applicable stock exchange rules, that apply to companies organized in that country and relating to the appointment of independent directors and the composition of audit and compensation committees. Such exemptions include an exemption from the requirement to appoint external directors and the requirement that an external director be a member of certain committees, as well as the exemption from limitations on directors’ compensation. We were afforded these exemptions on August 6, 2024, as we do not have a controlling shareholder.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 Under the Companies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an “independent director” is either an external director or a director who meets the same non-affiliation criteria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as determined by the audit committee, and who has not served as a director of the company for more than nine consecutive years. For these purposes, ceasing to serve as a director for a period of two years or less would not be deemed to sever the consecutive nature of such director’s service. Ms. Hila Kiron-Revach, Oz Adler and Yossi Daskal has agreed to serve as our independent director.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Regulations promulgated pursuant to the Companies Law provide that a director in a public company whose shares are listed for trading on specified exchanges outside of Israel, including the Nasdaq Capital Market, who qualifies as an independent director under the relevant non-Israeli rules and who meets certain non-affiliation criteria, which are less stringent than those applicable to independent directors as set forth above, would be deemed an “independent” director pursuant to the Companies Law provided: (i) he or she has not served as a director for more than nine consecutive years; (ii) he or she has been approved as such by the audit committee; and (iii) his or her remuneration shall be in accordance with the Companies Law and the regulations promulgated thereunder. For these purposes, ceasing to serve as a director for a period of two years or less would not be deemed to sever the consecutive nature of such director’s service.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pursuant to these regulations, such company may reappoint a person as an independent director for additional terms, beyond nine years, which do not exceed three years each, if each of the audit committee and the board of directors determine, in that order, that in light of the independent director’s expertise and special contribution to the board of directors and its committees, the reappointment for an additional term is in the company’s best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Alternate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association provide, as allowed by the Companies Law, that any director may, subject to the conditions set thereto, appoint a person as an alternate to act in his place, to remove the alternate and appoint another in his place and to appoint an alternate in place of an alternate whose office is vacated for any reason whatsoever.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so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A person who does not have the requisite “financial and accounting experience” or the “professional expertise,” depending on the qualifications of the external director he or she is replacing, may not be appointed as an alternate director for an external director. A person who is not qualified to be appointed as an independent director, pursuant to the Companies Law, may not be appointed as an alternate director of an independent director qualified as such under the Companies Law. Unless the appointing director limits the time or scope of the appointment, the appointment is effective for all purposes until the appointing director ceases to be a director or terminates the appointment.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is comprised of at least three independent directors.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 majority of the members of the audit committee of a publicly-traded company must be independent directors under the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members of our audit committee are Mr. Yossi Daskal, Ms. Hila Kiron-Revach and Mr. Oz Adler.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will also act as a committee for review of our financial statements as required under the Companies Law, and in such capacity will oversee and monitor our accounting; financial reporting processes and controls, audits of the financial statements, compliance with legal and regulatory requirements as they relate to financial statements or accounting matters, and the independent registered public accounting firm’s qualifications, independence and performance; and provide the board of directors with reports on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our company, and making recommendations to the board of directors to improve such practices;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(including transactions in which an office holder has a personal interest and whether such transaction is extraordinary or material under Companies Law) (see “Directors, Senior Management and Employees—Board Practices—Approval of Related Party Transactions under Israeli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optionally based on criteria which may be determined annually in advance by the audit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ind w:left="980" w:right="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controls and internal auditor’s performance, including whether the internal auditor has sufficient resources and tools to dispose of its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of directors approves the working plan of the internal auditor, examining such working plan before its submission to the board of directors and proposing amendments thereto;</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management of our business and the protection to be provided to such employees.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may not conduct any discussions or approve any actions requiring its approval (see “Directors, Senior Management and Employees—Board Practices—Approval of Related Party Transactions under Israeli law”), unless at the time of the approval a majority of the committee’s members are present, which majority consists of independent directors under the Companies Law, including at least one external director (to the extent external director is required under the Companies Law and its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Stock Market Requirements for Audit Committee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Nasdaq Listing Rules, we are required to maintain an audit committee consisting of at least three members, all of whom are independent and are financially literate and one of whom has accounting or related financial management expertise.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noted above, the members of our audit committee are Mr. Yossi Daskal and Mr. Oz Adler, and Ms. Hila Kiron-Revach, who will serve as an independent directors, each of whom is “independent,” as such term is defined in under Nasdaq Listing Rules. The members of our audit committee meet the requirements for financial literacy under the Nasdaq Listing Rules. Our board of directors has determined that each member of our audit committee is an audit committee financial expert as defined by the SEC rules and has the requisite financial experience as defined by the Nasdaq Listing Rules.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among others, the responsibilities of the audit committee consistent with the rules of the SEC and Nasdaq Listing Rules (in addition to the requirements for such committee under the Companies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the board of directors of any public company must establish a compensation committee. The compensation committee must be comprised of at least three directors, including all of the external directors, who must constitute a majority of the members of the compensation committee (to the extent external director is required under the Companies Law and its regulations). Each compensation committee member that is not an external director must be a director whose compensation does not exceed an amount that may be paid to an external director. The compensation committee is subject to the same Companies Law restrictions as the audit committee as to (a) who may not be a member of the committee and (b) who may not be present during committee deliberations as described above.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Mr. Yossi Daskal, Mr. Oz Adler and Ms. Hila Kiron-Revach, each of whom is “independent,” as such term is defined under the Nasdaq Listing Rules. Our compensation committee complies with the provisions of the Companies Law, the regulations promulgated thereunder, and our amended and restated articles of association, on all aspects referring to its independence, authorities and practice. Our compensation committee follows home country practice as opposed to complying with the compensation committee membership and charter requirements prescribed under the Nasdaq Listing Rules. Our board of directors has adopted a compensation committee charter.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reviews and recommends to our board of directors, with respect to our executive officers’ and directors’: (1) annual base compensation; (2) annual incentive bonus, including the specific goals and amount; (3) equity compensation; (4) employment agreements, severance arrangements, and change in control agreements and provisions; (5) retirement grants and/or retirement bonuses; and (6) any other benefits, compensation, compensation policies or arrangements.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duties of the compensation committee include the recommendation to the company’s board of directors of a policy regarding the terms of engagement of office holders, to which we refer as a compensation policy. Such policy must be adopted by the company’s board of directors, after considering the recommendations of the compensation committee. The compensation policy is then brought for approval by our shareholders, which requires a special majority (see “Directors, Senior Management and Employees—Board Practices—Approval of Related Party Transactions under Israeli law”). Under the Companies Law, the board of directors may adopt the compensation policy if it is not approved by the shareholders, provided that after the shareholders oppose the approval of such policy, the compensation committee and the board of directors revisit the matter and determine that adopting the compensation policy would be in the best interest of the company. Our board has adopted a compensation policy which was approved by our shareholders on March 27, 2022, as amended and approved by our shareholders on September 30, 2024.</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executive officers and directors, including exculpation, insurance, indemnification or any monetary payment or obligation of payment in respect of employment or engagement. The compensation policy must relate to certain factors, including advancement of the company’s objectives, the company’s business and its long-term strategy, and creation of appropriate incentives for executives. It must also consider, among other things, the company’s risk management, size and the nature of its operations. The compensation policy must furthermore consider the following additional factors:</w:t>
      </w:r>
    </w:p>
    <w:p>
      <w:pPr>
        <w:spacing w:after="0" w:line="183"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expertise and accomplishments of the relevant director or executive;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executive’s roles and responsibilities and prior compensation agreements with him or her;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cost of the terms of service of an office holder and the average and median compensation of the other employees of the company (including those employed through manpower companies), including the impact of disparities in salary upon work relationships in the company;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reducing variable compensation at the discretion of the board of directors; and the possibility of setting a limit on the exercise value of non-cash variable compensation;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severance compensation, the period of service of the director or executive,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policy must also include the following principles:</w:t>
      </w:r>
    </w:p>
    <w:p>
      <w:pPr>
        <w:spacing w:after="0" w:line="225"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link between variable compensation and long-term performance and measurable criteria;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variable and fixed compensation, and the ceiling for the value of variable compensation at the time of its grant;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for variable, equity-based compensation;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limits for severance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policy must also consider appropriate incentives from a long-term perspective.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is also responsible for:</w:t>
      </w:r>
    </w:p>
    <w:p>
      <w:pPr>
        <w:spacing w:after="0" w:line="225" w:lineRule="exact"/>
        <w:rPr>
          <w:sz w:val="20"/>
          <w:szCs w:val="20"/>
          <w:color w:val="auto"/>
        </w:rPr>
      </w:pPr>
    </w:p>
    <w:p>
      <w:pPr>
        <w:jc w:val="both"/>
        <w:ind w:left="980" w:hanging="324"/>
        <w:spacing w:after="0" w:line="266"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periodic updates to the compensation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implementation of the compensation policy;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terms of compensation of certain office holders of the company need not be brought to approval of the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the terms of compensation of office holders that require the committee’s approval.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the board of directors of an Israeli public company must appoint an internal auditor nominated by the audit committee. Our internal auditor is Mrs. Dana Spira, who has been serving as our internal auditor since May 2022. Mrs. Spira is a Certified Public Accountant and holds a B.A. degree in accounting and business and L.L.B law from Reichman University, Israel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role of the internal auditor is to examine, among other things, whether a company’s actions comply with the law and proper business procedure. The audit committee is required to oversee the activities, and to assess the performance of the internal auditor as well as to review the internal auditor’s work plan. An internal auditor may not be an interested party or office holder, or a relative of any interested party or office holder, and may not be a member of the company’s independent accounting firm or its representative. The Companies Law defines an interested party as a holder of 5% or more of the outstanding shares or voting rights of a company, any person or entity that has the right to nominate or appoint at least one director or the general manager of the company or any person who serves as a director or as the general manager of a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remuneration of directors is subject to the approval of the compensation committee, thereafter by the board of directors and thereafter, unless exempted under the regulations promulgated under the Companies Law, by the general meeting of the shareholders. External directors (if required) are entitled to remuneration (including reimbursement of expenses) subject to the provisions and limitations set forth in the regulations promulgated under the Companies Law. Where the director is also a controlling shareholder, the requirements for approval of transactions with controlling shareholders apply.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us, on the one hand, and our directors in their capacity as directors, on the other hand, providing for benefits upon termination of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Office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Companies Law imposes a duty of care and a duty of loyalty on all office holders of 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ind w:firstLine="648"/>
        <w:spacing w:after="0" w:line="282" w:lineRule="auto"/>
        <w:rPr>
          <w:sz w:val="20"/>
          <w:szCs w:val="20"/>
          <w:color w:val="auto"/>
        </w:rPr>
      </w:pPr>
      <w:r>
        <w:rPr>
          <w:rFonts w:ascii="Times New Roman" w:cs="Times New Roman" w:eastAsia="Times New Roman" w:hAnsi="Times New Roman"/>
          <w:sz w:val="18"/>
          <w:szCs w:val="18"/>
          <w:color w:val="auto"/>
        </w:rPr>
        <w:t>The duty of care requires an office holder to act with the level of care with which a reasonable office holder in the same position would have acted under the same circumstances. The duty of care of an office holder includes a duty to use reasonable means to obtain:</w:t>
      </w:r>
    </w:p>
    <w:p>
      <w:pPr>
        <w:spacing w:after="0" w:line="162"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advisability of a given action brought for his approval or performed by him by virtue of his position;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these 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loyalty of an office holder requires an office holder to act in good faith and for the benefit of the company, and includes a duty to:</w:t>
      </w:r>
    </w:p>
    <w:p>
      <w:pPr>
        <w:spacing w:after="0" w:line="225"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duties in the company and his performance of his other duties or personal affairs;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action that is competitive with the company’s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others;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has received due to his position as an office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 company may obtain insurance for any of its office holders against the following liabilities incurred due to acts he or she performed as an office holder, if and to the extent provided for in the company’s articles of association:</w:t>
      </w:r>
    </w:p>
    <w:p>
      <w:pPr>
        <w:spacing w:after="0" w:line="162" w:lineRule="exact"/>
        <w:rPr>
          <w:sz w:val="20"/>
          <w:szCs w:val="20"/>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his or her duty of care to the company or to another person, to the extent such a breach arises out of the negligent conduct of the office holder;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his or her duty of loyalty to the company, provided that the office holder acted in good faith and had reasonable cause to assume that his or her act would not prejudice the company’s interests;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upon him or her in favor of another person.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28, 2024 the Compensation Committee of our Board of Directors resolved to approve the renewal of the Company’s directors’ and officers’ insurance policy, for a period of 18 months as of April 1, 2024, of a $7.5 million coverage, and an annual premium not to exceed $246,400 ($369,600 for the 18 months period), pursuant to the applicable regulations under Companies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28, 2022, our board of directors approved the purchase of a run-off insurance policy for directors and officers, which will cover past events. The insurance amount is NIS 18 million (approximately US$ 5.6 million) in aggregate plus reasonable legal defense costs, with Company retention for claims in North America of NIS 90,000 (approximately US$ 28,125) and Company retention for other claims of NIS 18,000 (approximately US$ 5,600). The policy is for seven (7) years as of April 4, 2022, and cost NIS 49,140 (approximately US$ 15,260). The purchase of the run-off director and officer insurance policy was approved by the Company’s shareholders on June 6,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6" w:lineRule="exact"/>
        <w:rPr>
          <w:sz w:val="20"/>
          <w:szCs w:val="20"/>
          <w:color w:val="auto"/>
        </w:rPr>
      </w:pPr>
    </w:p>
    <w:p>
      <w:pPr>
        <w:jc w:val="both"/>
        <w:ind w:left="980" w:hanging="324"/>
        <w:spacing w:after="0" w:line="25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by any judgment concerning an act performed in his or her capacity as an office holder,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ind w:left="980" w:hanging="324"/>
        <w:spacing w:after="0" w:line="25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as a substitute for the criminal proceeding (as defined in the Companies Law) was imposed upon him or her as a result of such investigation or proceeding, or, if such financial liability was imposed, it was imposed with respect to an offense that does not require proof of criminal intent; and (b) in connection with a monetary sanction;</w:t>
      </w:r>
    </w:p>
    <w:p>
      <w:pPr>
        <w:spacing w:after="0" w:line="187"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an office holder in connection with an Administrative Procedure under the Securities Law, including reasonable litigation expenses and reasonable attorneys’ fees. 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Exculpation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an Israeli company may not exculpate an office holder from liability for a breach of his or her duty of loyalty, but may exculpate in advance an office holder from his or her liability to the company, in whole or in part, for damages caused to the company as a result of a breach of his or her duty of care (other than in relation to distributions), but only if a provision authorizing such exculpation is included in its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provides that we may not exculpate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exculpation) the office holder acted in good faith and had a reasonable basis to believe that the act would not prejudice us; (2) a breach by the office holder of his or her duty of care if the breach was carried out intentionally or recklessly (as opposed to merely negligently);</w:t>
      </w:r>
    </w:p>
    <w:p>
      <w:pPr>
        <w:spacing w:after="0" w:line="3" w:lineRule="exact"/>
        <w:rPr>
          <w:sz w:val="20"/>
          <w:szCs w:val="20"/>
          <w:color w:val="auto"/>
        </w:rPr>
      </w:pPr>
    </w:p>
    <w:p>
      <w:pPr>
        <w:ind w:firstLine="8"/>
        <w:spacing w:after="0" w:line="260" w:lineRule="auto"/>
        <w:tabs>
          <w:tab w:leader="none" w:pos="2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committed with the intent to derive an illegal personal benefit; or (4) any fine, monetary sanction, penalty or forfeit levied against the office holder.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“Directors, Senior Management and Employees—Board Practices—Approval of Related Party Transactions under Israeli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permits us to exculpate, indemnify and insure our office holders to the fullest extent permitted or to be permitted by the Companies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the Companies Law, to the extent that these liabilities are not covered by insurance.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we may approve an action by an office holder from which the office holder would otherwise have to refrain, as described above, if:</w:t>
      </w:r>
    </w:p>
    <w:p>
      <w:pPr>
        <w:spacing w:after="0" w:line="162"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 acts in good faith and the act or its approval does not cause harm to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 disclosed the nature of his or her interest in the transaction (including any significant fact or document) to the company at a reasonable time before the company’s approval of such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an Office Holder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Law requires that an office holder disclose to the company, promptly, and, in any event, not later than the board meeting at which the transaction is first discussed, any direct or indirect personal interest that he or she may have and all related material information known to him or her relating to any existing or proposed transaction by the company. If the transaction is an extraordinary transaction, the office holder must also disclose any personal interest held by:</w:t>
      </w:r>
    </w:p>
    <w:p>
      <w:pPr>
        <w:spacing w:after="0" w:line="180"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relatives;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in which the office holder or his or her relatives holds 5% or more of the shares or voting rights, serves as a director or general manager or has the right to appoint at least one director or the general manager.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 office holder is not, however, obliged to disclose a personal interest if it derives solely from the personal interest of his or her relative in a transaction that is not considered an extraordinary transaction. Under the Companies Law, an extraordinary transaction is a transaction:</w:t>
      </w:r>
    </w:p>
    <w:p>
      <w:pPr>
        <w:spacing w:after="0" w:line="162"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the ordinary course of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on market terms;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likely to have a material effect on the company’s profitability, assets or liabilities.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does not specify to whom within us nor the manner in which required disclosures are to be made. We require our office holders to make such disclosures to our board of directors.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Companies Law, once an office holder complies with the above disclosure requirement, the board of directors may approve a transaction between the company and an office holder, or a third party in which an office holder has a personal interest, unless the articles of association provide otherwise and provided that the transaction is in the company’s interest. If the transaction is an extraordinary transaction in which an office holder has a personal interest, first the audit committee and then the board of directors, in that order, must approve the transaction. Under specific circumstances, shareholder approval may also be required. Generally, a person who has a personal interest in a matter which is considered at a meeting of the board of directors or the audit committee may not be present at such a meeting unless the chairman of the audit committee or board of directors (as applicable) determines that he or she should be present in order to present the transaction that is subject to approval. A director who has a personal interest in a transaction, which is considered at a meeting of the board of directors or the audit committee, may not be present at this meeting or vote on this matter, unless a majority of the members of the board of directors or the audit committee, as the case may be, has a personal interest. If a majority of the board of directors has a personal interest, then shareholders approval is generally also required.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a Controlling Shareholder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Companies Law, the disclosure requirements that apply to an office holder also apply to a controlling shareholder of a public company.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and transactions concerning the terms of engagement and compensation of a controlling shareholder or a controlling shareholder’s relative, whether as an office holder or an employee, require the approval of the audit committee or the compensation committee, as the case may be,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192" w:lineRule="exact"/>
        <w:rPr>
          <w:sz w:val="20"/>
          <w:szCs w:val="20"/>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shareholders who have no personal interest in the transaction and are voting at the meeting must be voted in favor of approving the transaction, excluding abstentions;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by shareholders who have no personal interest in the transaction who vote against the transaction represent no more than 2% of the voting rights in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the Compensation of Directors and Executive Officers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Under the Companies Law, the compensation of our directors requires the approval of our compensation committee,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board of directors and, unless exempted under the regulations promulgated under the Companies Law, the approval of the general meeting of our shareholders. If the compensation of our directors is inconsistent with our stated compensation policy, then, provided that those provisions that must be included in the compensation policy according to the Companies Law have been considered by the compensation committee and board of directors, shareholders approval by a special majority will be required.</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Executive officers other than the chief executive officer. </w:t>
      </w:r>
      <w:r>
        <w:rPr>
          <w:rFonts w:ascii="Times New Roman" w:cs="Times New Roman" w:eastAsia="Times New Roman" w:hAnsi="Times New Roman"/>
          <w:sz w:val="18"/>
          <w:szCs w:val="18"/>
          <w:color w:val="auto"/>
        </w:rPr>
        <w:t>The Companies Law requires the approval of the compensation of a public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(other than the chief executive officer) in the following order: (i) the compensation committee, (ii) the company’s board of directors, and</w:t>
      </w:r>
    </w:p>
    <w:p>
      <w:pPr>
        <w:jc w:val="both"/>
        <w:ind w:firstLine="8"/>
        <w:spacing w:after="0" w:line="253" w:lineRule="auto"/>
        <w:tabs>
          <w:tab w:leader="none" w:pos="3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such compensation arrangement is inconsistent with the company’s stated compensation policy, the company’s shareholders by a special majority.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provides detailed reasons for their decision.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Chief executive officer. </w:t>
      </w:r>
      <w:r>
        <w:rPr>
          <w:rFonts w:ascii="Times New Roman" w:cs="Times New Roman" w:eastAsia="Times New Roman" w:hAnsi="Times New Roman"/>
          <w:sz w:val="18"/>
          <w:szCs w:val="18"/>
          <w:color w:val="auto"/>
        </w:rPr>
        <w:t>Under the Companies Law, the compensation of a public company’s chief executive officer is required to be approved by:</w:t>
      </w:r>
    </w:p>
    <w:p>
      <w:pPr>
        <w:spacing w:after="0" w:line="29" w:lineRule="exact"/>
        <w:rPr>
          <w:sz w:val="20"/>
          <w:szCs w:val="20"/>
          <w:color w:val="auto"/>
        </w:rPr>
      </w:pPr>
    </w:p>
    <w:p>
      <w:pPr>
        <w:jc w:val="both"/>
        <w:ind w:firstLine="8"/>
        <w:spacing w:after="0" w:line="251" w:lineRule="auto"/>
        <w:tabs>
          <w:tab w:leader="none" w:pos="2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compensation committee; (ii) the company’s board of directors, and (iii) the company’s shareholders by a special majority.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provides detailed reasons for their decision. In addition, the compensation committee may exempt the engagement terms of a candidate to serve as the chief executive officer from shareholders’ approval, if the compensation committee determines that the compensation arrangement is consistent with the company’s stated compensation policy, that the chief executive officer did not have a prior business relationship with the company or a controlling shareholder of the company, and that subjecting the approval to a shareholders vote would impede the company’s ability to attain the candidate to serve as the company’s chief executive officer (and provide detailed reasons for the latter).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approval of each of the compensation committee and the board of directors, with regard to the office holders and directors above, must be in accordance with the company’s stated compensation policy; however, under special circumstances, the compensation committee and the board of directors may approve compensation terms of a chief executive officer that are inconsistent with the company’s compensation policy provided that they have considered those provisions that must be included in the compensation policy according to the Companies Law and that shareholder approval was obtained by a special majority requirement.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 shareholder has a duty to refrain from abusing its power in the company and to act in good faith and in an acceptable manner in exercising its rights and performing its obligations toward the company and other shareholders, including, among other things, in voting at general meetings of shareholders (and at shareholder class meetings) on the following matters:</w:t>
      </w:r>
    </w:p>
    <w:p>
      <w:pPr>
        <w:spacing w:after="0" w:line="176"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company’s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shareholder also has a general duty to refrain from oppressing other shareholders. The remedies generally available upon a breach of contract will also apply to a breach of the above mentioned duties, and in the event of oppression of other shareholders, additional remedies are available to the injured shareholder.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do not have any controlling shareholder as defined by the Companies Law. See “Major Shareholders and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4.B. Business Overview—Employees.”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7.A. Major Shareholders”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one equity incentive plan, or the Option Plan. As of March 30, 2025, the number of ordinary shares reserved for issuance under the Option Plan was 4,061,098. As of March 30, 2025, 179,638 options to purchase 179,638 ordinary shares were issued and outstanding, of which 138,484 options were vested as of that date, with exercise prices ranging from $14.8 to $49.11 per share. As of March 30, 2025, we had also an aggregate of 2,565,519 RSUs issued and outstanding under the Option Plan, of which 227,647 RSUs were vested as of such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Our board may, at any time during the term of the Option Plan increase the number of shares available for grant under the Option Plan subject to any required approval of our shareholders of such increase if so required under applicable laws and/or our incorporation documents and/or any shareholders agreement, as shall be in effect from time to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Option Plan was adopted by our board of directors on January 31, 2017, and awards may be granted under the Option Plan until January 31, 2027. Our Option Plan was last amended on March 28, 2024. Our employees, directors, officers, and services providers, including those who are our controlling shareholders (if any), as well as those of our affiliated companies, are eligible to participate in this Option Plan.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Option Plan is administered by our board of directors, regarding the granting of options and the terms of option grants, including exercise price, method of payment, vesting schedule, acceleration of vesting and the other matters necessary in the administration of this Option Plan. Eligible Israeli employees, officers and directors, would qualify for provisions of Section 102(b)(2) of the Tax Ordinance. Pursuant to such Section 102(b)(2), qualifying options and shares issued upon exercise of such options are held in trust and registered in the name of a trustee selected by the board of directors. The trustee may not release these options or shares to the holders thereof for two years from the date of the registration of the options in the name of the trustee, unless the beneficiary grantee waives the tax benefits under Section 102, as detailed below.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 Our Israeli non-employee service providers and controlling shareholders may only be granted options under Section 3(9) of the Tax Ordinance, which does not provide for similar tax benefits. The Option Plan also permits granting options to Israeli grantees who do not qualify under Section 102(b)(2).</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default, our Option Plan provides that upon termination of employment for any reason, other than in the event of death or disability, all unvested options will expire and all vested options will generally be exercisable for one month following such termination, if we initiate such termination, or two weeks following such termination, if an employee initiates such termination, or such other period as determined by the Option Plan administrator, subject to the terms of the Option Plan and the governing option agreement. Notwithstanding the foregoing, in the event the employment is terminated for cause (including, inter alia, a breach of confidentiality or non-compete obligations to us, and commission of an act involving moral turpitude or an act that causes harm to us) all options granted to such employee, whether vested or unvested, will not be exercisable and will terminate on the date of the termination of his employment.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termination of employment due to death or disability, all the options vested at the time of termination will generally be exercisable for six months, or such other period as determined by the Option Plan administrator, subject to the terms of the Option Plan and the governing option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erroneously awarded compensation that was required to be recovered pursuant to the Rail Vision Ltd. Executive Officer Clawback Policy during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ordinary shares as of March 30, 2025 by:</w:t>
      </w:r>
    </w:p>
    <w:p>
      <w:pPr>
        <w:spacing w:after="0" w:line="225"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our outstanding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ordinary shares. Ordinary shares issuable under RSUs, share options or warrants that are exercisable within 60 days after March 30, 2025 are deemed outstanding for the purpose of computing the percentage ownership of the person holding the RSUs, options or warrants but are not deemed outstanding for the purpose of computing the percentage ownership of any other person.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indicated in the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Rail Vision Ltd., 15 Ha’Tidhar St., Ra’anana, 4366517 Israel.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7400" w:type="dxa"/>
            <w:vAlign w:val="bottom"/>
          </w:tcPr>
          <w:p>
            <w:pPr>
              <w:spacing w:after="0"/>
              <w:rPr>
                <w:sz w:val="20"/>
                <w:szCs w:val="20"/>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Shahar Hania (1)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147,667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Ofer Naveh (2)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64,848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Noam Shloper (3)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20,882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Yoresh* (4)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37,683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Doron Cohadier (5)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14,166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Klir (6)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26,375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Ariel Dor*(7)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13,596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Yossi Daskal* (8)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12,076</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Hila Kiron Revach*(9)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8,332</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Oz Adler* (10)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12,076</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senior management as a group (10 persons)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0.67%</w:t>
            </w:r>
          </w:p>
        </w:tc>
      </w:tr>
      <w:tr>
        <w:trPr>
          <w:trHeight w:val="41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Indicates director of the Company.</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Indicates beneficial ownership of less than 1% of the total ordinary shares outstanding.</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78,820 ordinary shares, (ii) 40,847 options vested within 60 days exercisable at an exercise price of $14.80 and expiring in January 2028, October 2030, May 2032 and October 2033 and (iii) 28,000 RSUs vested within 60 days. Does not include (i) options to purchase 24,798 ordinary shares exercisable at $14.80 per share and expiring in May 2032 and October 2033, that vest in more than 60 days from the date hereof and (ii) 280,000 RSUs that vest in more than 60 days from the date hereof.</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21,166 ordinary shares, (ii) 22,516 options vested within 60 days, exercisable at an exercise price of $14.80 and expiring in January 2028, January 2030 and May 2032 and (iii) 21,166 RSUs vested within 60 days. Does not include 211,668 RSUs that vest in more than 60 days from the date hereof</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8,583 ordinary shares, (ii) 3,716 options vested within 60 days, exercisable at an exercise price of $14.80 and expiring in January 2028, January 2030 and September 2032 and (iii) 8,583 RSUs vested within 60 days. Does not include (i) options to purchase 84 ordinary shares exercisable at $14.80 per share and expiring in September 2032, that vest in more than 60 days from the date hereof and (ii) 85,834 RSUs that vest in more than 60 days from the date hereof</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15,916 ordinary shares, (ii) 7,099 options vested within 60 days, exercisable at an exercise price of $14.80 and expiring in January 2028 and May 2032 and (iii) 15,916 RSUs vested within 60 days. Does not include 159,168 RSUs that vest in more than 60 days from the date hereof.</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7,083 ordinary shares, and (ii) 7,083 RSUs vested within 60 days. Does not include 70,834 RSUs that vest in more than 60 days from the date hereof.</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10,583 ordinary shares, (ii) 5,209 options vested within 60 days, exercisable at an exercise price of $14.80 and expiring in September 2032 and (iii) 10,583 RSUs vested within 60 days. Does not include (i) options to purchase 1,041 ordinary shares exercisable at $14.80 per share and expiring in September 2032, that vest in more than 60 days from the date hereof and (ii) 105,834 RSUs that vest in more than 60 days from the date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4,166 ordinary shares, (ii) 5,264 options vested within 60 days, exercisable at an exercise price of $49.11, and expiring in January 2028 and (iii) 4,166 RSUs vested within 60 days. Does not include 41,668 RSUs that vest in more than 60 days from the date hereof.</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4,166 ordinary shares, (ii) 4,992 options vested within 60 days, exercisable at an exercise price of $14.80 and expiring in May 2032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4,166 RSUs vested within 60 days. Does not include 41,668 RSUs that vest in more than 60 days from the date hereof.</w:t>
      </w:r>
    </w:p>
    <w:p>
      <w:pPr>
        <w:spacing w:after="0" w:line="2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4,166 ordinary shares, and (ii) 4,166 RSUs vested within 60 days. Does not include 41,668 RSUs that vest in more than 60 days from the date hereof.</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4,166 ordinary shares, (ii) 3,328 options vested within 60 days, exercisable at an exercise price of $14.80 and expiring in June 2032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4,166 RSUs vested within 60 days. Does not include (i) options to purchase 1,664 ordinary shares exercisable at $14.80 per share and expiring in June 2032, that vest in more than 60 days from the date hereof and (ii) 41,668 RSUs that vest in more than 60 days from the date 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Ownership of Major Shareholders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reported on their Schedule 13D, as of June 21, 2023, Knorr-Bremse Systeme für Schienenfahrzeuge GmbH reported beneficial ownership of 48.1% of our ordinary shares. According to our records, Knorr-Bremse’s current beneficial ownership is 3.35% of our ordinary shares. In addition, according to our records, Foresight Autonomous Holdings Ltd. held a beneficial ownership of 11.1% of our ordinary shares on December 31, 2023 and currently holds 0% of our ordinary shares. To our knowledge, other than as disclosed in the table above, other filings with the SEC and this Annual Report, during the last three years, there were no significant changes in the percentage ownership of our major shareholders. Our major shareholders do not have voting rights with respect to their ordinary shares that are different from the voting rights of other holders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there were 72 holders of record of our ordinary shares, out of which 24 holders of record had a registered address in the United States. The number of record holders is not representative of the number of beneficial holders of our ordinary shares, as 97.4% of our outstanding ordinary shares are recorded in the name of Cede &amp; Co. as nominee for the Depository Trust Company, in whose name all shares held in “street name” are held in the United States. Except where otherwise indicated, we believe, based on information furnished to us by such owners, that the beneficial owners of the Ordinary Shares listed below have sole investment and voting power with respect to such shares.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controlled by another corporation, by any foreign government or by any natural or legal persons. There are no arrangements known to us which would result in a change in control of our company at a subsequent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those transactions with related parties to which we are party since January 1,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written employment or services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and Restricted Share 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we have granted options to purchase our ordinary shares and RSUs to certain of our officers and directors. Such option agreements may contain acceleration provisions upon certain merger, acquisition, or change of control transactions. We describe our Option Plan under “Item 6.E.—Directors, Senior Management and Employees—Share Incentive Plan.” If the relationship between us and an executive officer or a director is terminated, except for cause (as defined in the various Option Plan agreements), options that are vested will generally remain exercisable for one month following the date of such termination if we initiate such termination or two weeks following the date of such termination, if an executive officer or a director initiates such termination.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Pure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(January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18, 2024, we entered into the January 2024 PIPE, Units, consisting of (i) one of our ordinary shares and/or pre-funded warrants to purchase our ordinary shares and (ii) one and a half warrants to purchase our ordinary shares to the Investors, of a minimum of $2.5 million of Units and up to a maximum of $3 million of Units. The January 2024 PIPE closed on January 31, 2024 following the execution of definitive documentation between us and the Investors.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January 2024 PIPE, the Investors purchased $3.0 million of Units consisting of (A) (i) 1,651,458 of ordinary shares and/or (ii) January 2024 PIPE Pre-Funded Warrants to purchase up to 1,394,999 ordinary shares and (B) January 2024 PIPE Ordinary Share Warrants to purchase up to 4,569,688 ordinary shares. The purchase price per Unit is $0.98475. The January 2024 PIPE Pre-Funded Warrants are immediately exercisable at an exercise price of $0.0001 per ordinary share, subject to certain adjustments and certain anti-dilution protection set forth therein, and will not expire until exercised in full. The January 2024 PIPE Ordinary Share Warrants are exercisable upon issuance at an exercise price of $0.98475 per ordinary share, subject to certain adjustments and certain anti-dilution protection set forth therein, and have a 5.5-year term from the issuance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January 2024 PIPE, we exercised our conversion right pursuant to the Facility Agreement to convert $500,000 of the Credit Facility as a portion of the January 2024 Conversion Loan Amount. Following such conversion, we issued to the Lender (i) the Facility Conversion Pre-Funded Warrant to purchase up to 507,743 ordinary shares and (ii) the Facility Conversion Ordinary Share Warrant to purchase up to 761,615 ordinary shares. The Facility Conversion Pre-Funded Warrant and the Facility Conversion Common Warrant are in substantially the same form and on substantially the same terms as the January 2024 PIPE Pre-Funded Warrant and January 2024 PIPE Ordinary Share Warrant, respectively.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all of the warrants and pre-funded warrants that were issued in connection with the January 2024 PIPE have been exercised in full, consisting of 1,394,999 January 2024 PIPE Pre-Funded Warrants, 507,743 Facility Conversion Pre-Funded Warrants, 761,615 Facility Conversion Common Warrants and 4,569,688 January 2024 PIPE Warrants have been exercised resulting in gross proceeds of approximately $5.25 million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of Credit Facility Agreement and Issuance of Warrant (January 2024)</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9, 2024, we entered into the Facility Agreement for a $6 million the Credit Facility and an additional amount up to $3 million, subject to certain conditions, of Additional Loans, with the Lender, who was also an Investor in the January 2024 PIPE. The Credit Facility, which had an initial term of 10 months, accrued interest at a rate of 8% per annum, and the first payment of $1.5 million was drawn down upon execution of the Facility Agreement and the remaining amount were able to be drawn down in eight equal installments as of March 7, 2024. As detailed below, the Facility Agreement terminated on March 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Facility Agreement, the Lender’s financing obligations terminated in the event we drew down $7.5 million or more pursuant to an alternate credit facility or closes one or more equity financing transaction in an aggregate amount of at least $5 million. As of March 1, 2024, we had received aggregate gross proceeds of more than $5 million from the purchase of Units in the January 2024 Private Placement, the exercise of warrants issued in the January 2024 Private Placement and our exercise of the Conversion Right in the amount of $500,000. As a result, the Lender’s financing obligations have terminated pursuant to the terms of the Facility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we close one or more equity financing transactions in an aggregate amount of at least $5 million (including the conversion of the Credit Facility), we had the right to convert into ordinary share up to $1.5 million, including accrued interest, of a loan extended or to be extended to us by the Lender, or the January 2024 Conversion Loan Amount, in connection with and in the framework of a financing transaction of ours on the date that follows the date upon which we notified the Lender of such financing transaction, which conversion will occur upon the same terms. As of the date hereof, we had converted $500,000 of the Credit Facility as a portion of the January 2024 Conversion Loan Amount.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Facility Agreement, we issued a warrant, or the January 2024 Facility Warrant, to the Lender to purchase 2,419,354 of our ordinary shares representing an aggregate exercise amount of $7.5 million, with a per share exercise price of $3.10, subject to certain adjustments and certain anti-dilution protection, representing a 150% premium of the closing share price of our ordinary shares on January 5, 2024. The January 2024 Facility Warrant is immediately exercisable upon issuance and has a term of 5 years from the date of issuance. Following the closing of the January 2024 PIPE, the exercise price of the January 2024 Facility Warrant was adjusted to $0.408 which is the effective price per ordinary share in the January 2024 PIPE, or the January 2024 Facility Warrant Adjusted Exercise Price, and the number of ordinary shares issuable upon the exercise of the January 2024 Facility Warrant was also adjusted to a total 18,382,353, or the January 2024 Facility Warrant Adjusted Shares, such that the product of the January 2024 Facility Warrant Adjusted Exercise Price and the January 2024 Facility Warrant Adjusted Shares is equal to an aggregate exercise amount of $7.5 million. As of the date of this Annual Report, 17,170,000 January 2024 Facility Warrants have been exercised resulting in gross proceeds of approximately $7.0 million to the Company.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to the Credit Facility, each of Shmuel Donnerstein, Inbal Kreiss and Keren Aslan tendered their resignations from our board of directors, and our board of directors appointed Amitay Weiss and Hila Kiron-Revach to our board of directors. On March 12, 2024, Mr. Weiss resigned from our board of directors. Mr. Weiss’s resignation was not due to any disagreement with us or management. Also on March 12, 2024, our board of directors appointed Mr. Ariel Dor to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do business with other companies affiliated with our principal shareholders, as described above. We believe that all such arrangements have been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4.B. Business Overview—Legal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anticipate paying any cash dividends in the foreseeable future. However, 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will provide that dividend distributions may be determined by our board of directors.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Companies Law, the distribution of dividends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 of dividends may be subject to Israeli withholding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as otherwise described in this Annual Report on Form 20-F and as set forth below, no significant change has occurred in our operations since the date of our financial statements included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31, 2022, our ordinary shares and warrants commenced trading on the Nasdaq Capital Market under the symbols “RVSN,” and “RVSNW,”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 Articles of Association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our Amended and Restated Articles of Association is attached as Exhibit 1.1 to this Annual Report. Other than as disclosed below, the information called for by this Item is set forth in Exhibit 2.1 to this Annual Report and is incorporated by reference into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Our Company,” Item 7B “Major Shareholders and Related Party Transactions - Related Party Transactions” or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ISRAELI TAX CONSIDERATIONS AND GOVERNMENT PROGRAMS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the material Israeli tax laws applicable to us and certain Israeli Government programs. The following also contains a discussion of material Israeli tax consequences concerning the ownership and disposition of our ordinary shares purchased by investors in this offering. To the extent that the discussion is based on new tax legislation which has not been subject to judicial or administrative interpretation, there can be no assurance that the tax authorities will accept the views expressed in this discussion. This summary is based on laws and regulations in effect as of the date hereof, and is not intended, and should not be taken, as legal or professional tax advice and is not exhaustive of all possible tax considerations.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Tax Structure in Israel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Israeli resident companies are generally subject to corporate tax. The current corporate tax rate, as from 2018 is 23% However, the effective tax rate payable by a company that derives income from a Preferred Enterprise (as discussed below) may be considerably less.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Capital gains derived by an Israeli resident company are generally subject to tax at the prevailing corporate tax rate. Under Israeli tax legislation, a corporation will be considered as an “Israeli resident company” if it meets one of the following: (i) it was incorporated in Israel; or (ii) the control and management of its business are exercised in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Industry (Taxes) - 1969</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Industry (Taxes) - 1969, generally referred to as the Industry Encouragement Law, provides several tax benefits for “Industrial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 company incorporated in, and resident of Israel, at least 90% of the income of which, in a given tax year, exclusive of income from specified government loans, capital gains, interest and dividends which are not classified for such company as business income, is derived from an industrial enterprise owned by it. In general, an “Industrial enterprise” is defined as an enterprise whose major activity in a given tax year is industrial production.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a patent, rights to use a patent, and know-how, which are used for the development or promotion of the Industrial Enterprise, over an eight-year period and certain other intangible property rights (other than goodwill), commencing on the year in which such rights were first exercised;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straight-line deduction of expenses related to a public offering over a three–year period commencing in the year of offering.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Eligibility for benefits under the Industry Encouragement Law is not contingent upon approval of any governmental authority. There is no assurance that we qualify as an Industrial Company or that the benefits described above will be available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Encouragement of Research, Development and Technological Innovation in the Industry Law-1984</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Encouragement of Research, Development and Technological Innovation in the Industry Law-1984, or the Innovation Law, and its related regulations, research and development programs which meet specified criteria and are approved by the Israeli Innovation Authority, or the IIA, are eligible for grants of up to 50% of the project’s expenditure, as determined by the research committee, in exchange for the payment of royalties from the revenues generated from the sale of products and related services developed, in whole or in part, pursuant to, or as a result of, a research and development program funded by the IIA. The royalties are generally at a range of 3.0% to 5.0% of revenues until the entire grant is repaid, together with an annual interest (as determined in the Innovation Law). Following the full payment of such royalties and interest, there is generally no further liability for royalty payments. Nonetheless, the restrictions under the Innovation Law (as generally specified below) will continue to apply even after our company has repaid the grants, including accrued interest, in full.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main obligations under the Innovation Law which are applicable to us as a grant recipient are:</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Local manufacturing obligation</w:t>
      </w:r>
      <w:r>
        <w:rPr>
          <w:rFonts w:ascii="Times New Roman" w:cs="Times New Roman" w:eastAsia="Times New Roman" w:hAnsi="Times New Roman"/>
          <w:sz w:val="18"/>
          <w:szCs w:val="18"/>
          <w:color w:val="auto"/>
        </w:rPr>
        <w:t>: The terms of the Innovation Law require that the manufacture of products developed with IIA grants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in Israel. Manufacturing activity may not be transferred outside of Israel, unless the prior approval of the IIA is received. However, this does not restrict the export of products that incorporate the funded technology. Ordinarily, as a condition to obtaining approval to manufacture outside Israel, we would be required to pay royalties at an increased rate (usually 1% in addition to the standard rate) and increased royalties cap between 120% and 300% of the grants, depending on the manufacturing volume that is performed outside Israel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Royalties to the IIA as a</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Manufacturing Volume Outside of Israel</w:t>
            </w:r>
          </w:p>
        </w:tc>
        <w:tc>
          <w:tcPr>
            <w:tcW w:w="46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Grant</w:t>
            </w:r>
          </w:p>
        </w:tc>
        <w:tc>
          <w:tcPr>
            <w:tcW w:w="160" w:type="dxa"/>
            <w:vAlign w:val="bottom"/>
            <w:tcBorders>
              <w:bottom w:val="single" w:sz="8" w:color="CCEEFF"/>
            </w:tcBorders>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Up to 50%</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Between 50% and 90%</w:t>
            </w:r>
          </w:p>
        </w:tc>
        <w:tc>
          <w:tcPr>
            <w:tcW w:w="6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90% and more</w:t>
            </w:r>
          </w:p>
        </w:tc>
        <w:tc>
          <w:tcPr>
            <w:tcW w:w="6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432"/>
        </w:trPr>
        <w:tc>
          <w:tcPr>
            <w:tcW w:w="4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315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transfer of no more than 10% of the manufacturing capacity in the aggregate outside of Israel is exempt under the Innovation Law from obtaining the prior approval of the IIA. A company requesting funds from the IIA also has the option of declaring in its IIA grant application its intention to perform part of its manufacturing outside Israel, thus avoiding the need to obtain additional approval.</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Transfer of know-how outside of Israel: </w:t>
      </w:r>
      <w:r>
        <w:rPr>
          <w:rFonts w:ascii="Times New Roman" w:cs="Times New Roman" w:eastAsia="Times New Roman" w:hAnsi="Times New Roman"/>
          <w:sz w:val="18"/>
          <w:szCs w:val="18"/>
          <w:color w:val="auto"/>
        </w:rPr>
        <w:t>The know-how developed within the framework of the IIA plan may not be transferred to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Israel without the prior approval of the IIA. The approval, however, is not required for the export of any products developed using grants received from the IIA. The IIA approval to transfer know-how created, in whole or in part, in connection with an IIA-funded project, to a third party outside Israel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regulations promulgated under the Innovation Law establish a cap of the redemption fee payable to the IIA under the above mentioned formulas and differentiate between two situations: (i) in the event that the funded company sells its IIA funded know-how, in whole or in part, or is sold as part of an merger and acquisition, or M&amp;A, transaction, and subsequently ceases to conduct business in Israel, the maximum redemption fee under the above mentioned formulas will be no more than six times the total grants received from the IIA, including accrued interest; (ii) in the event that following the transactions described above the company undertakes to continue its research and development activity in Israel for at least three years following such transfer and maintain at least 75% of its research and development staff employees it had for the six months before the know-how was transferred, while keeping the same scope of employment for such research and development staff, then the company is eligible for a reduced cap of the redemption fee of no more than three times the amounts received (plus accrued interest) for the applicable know-how being transferred, or the entire amount received from the National Authority for Technological Innovation, or NATI, as applicable.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payment of such redemption fee, the know-how and the production rights for the products supported by such funding cease to be subject to the Innovation Law. Transfer of such funded know-how to an Israeli entity is subject to the IIA approval and to an undertaking of the recipient Israeli entity to comply with the provisions of the Innovation Law and related regulations, including the restrictions on the transfer of know-how and the obligation to pay royalties, as further described in the Innovation Law and related regulations.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Licensing rules: </w:t>
      </w:r>
      <w:r>
        <w:rPr>
          <w:rFonts w:ascii="Times New Roman" w:cs="Times New Roman" w:eastAsia="Times New Roman" w:hAnsi="Times New Roman"/>
          <w:sz w:val="18"/>
          <w:szCs w:val="18"/>
          <w:color w:val="auto"/>
        </w:rPr>
        <w:t>In May 2017, the IIA issued new rules for licensing know-how developed with the IIA’s funding outside of Israel,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Rules, which allow a company to enter into licensing arrangements or grant other rights in know-how developed under the IIA’s programs outside of Israel, subject to the prior consent of the IIA and payment of license fees, calculated in accordance with the Licensing Rules. The payment of the license fees will not discharge a company from the obligations to pay royalties or other payments to the IIA.</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Certain reporting obligations: </w:t>
      </w:r>
      <w:r>
        <w:rPr>
          <w:rFonts w:ascii="Times New Roman" w:cs="Times New Roman" w:eastAsia="Times New Roman" w:hAnsi="Times New Roman"/>
          <w:sz w:val="18"/>
          <w:szCs w:val="18"/>
          <w:color w:val="auto"/>
        </w:rPr>
        <w:t>A recipient of grants under the Innovation Law is required to notify the IIA of certain events enumerated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Law. In addition, the IIA may from time to time audit sales of products by companies which received funding from the IIA and this may lead to additional royalties being payable on additional product candidates.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received any grants from the IIA. In the future, we may apply for such grants. In the event that a company has received IIA grants, the abovementioned restrictions and requirements for payment may impair the ability of such a company to sell its technology outside of Israel, or to outsource manufacturing or otherwise transfer know-how outside Israel and may require it to obtain the approval or the IIA for certain actions and transactions and pay additional royalties or other payments to the IIA. If such a company fails to comply with the Innovation Law, it may be subject to mandatory repayment of grants, together with interest and penalties, as well as be exposed to criminal charges.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for Research and Development under the Encouragement of Industrial Research and Development Law-1984</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62"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must be for the promotion of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is carried out by or on behalf of the company seeking such tax deduction.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Israeli Income Tax Ordinance (the “</w:t>
      </w:r>
      <w:r>
        <w:rPr>
          <w:rFonts w:ascii="Times New Roman" w:cs="Times New Roman" w:eastAsia="Times New Roman" w:hAnsi="Times New Roman"/>
          <w:sz w:val="18"/>
          <w:szCs w:val="18"/>
          <w:b w:val="1"/>
          <w:bCs w:val="1"/>
          <w:color w:val="auto"/>
        </w:rPr>
        <w:t>Ordinance</w:t>
      </w:r>
      <w:r>
        <w:rPr>
          <w:rFonts w:ascii="Times New Roman" w:cs="Times New Roman" w:eastAsia="Times New Roman" w:hAnsi="Times New Roman"/>
          <w:sz w:val="18"/>
          <w:szCs w:val="18"/>
          <w:color w:val="auto"/>
        </w:rPr>
        <w:t>”). Expenditures related to scientific research and development that were not approved are deductible in equal amounts over three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may apply the IIA for approval to allow a tax deduction for all research and development expenses during the year incurred.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such application will be accepted.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Capital Investments-1959</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Capital Investments-1959, generally referred to as the Investment Law, provides certain incentives for capital investments in production facilities (or other eligible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Investment Law was significantly amended effective as of April 1, 2005, as of January 1, 2011, and as of January 1, 2017 (the “2017 Amendment”). The 2017 Amendment introduces new benefits for Technology Enterprises, alongside the existing tax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Under the 2017 Amendment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2017 Amendment was enacted as part of the Economic Efficiency Law that was published on December 29, 2016, and is effective as of January 1, 2017. The 2017 Amendment provides new tax benefits for two types of “Technological Enterprises,” as described below, and is in addition to the other existing tax benefits programs under the Investment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2017 Amendment further provides that a technological company satisfying certain conditions (including a group turnover of at least NIS 10 billion) will qualify as a “Special Preferred Technological Enterprise” and will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“Benefitted Intangible Assets” to a related foreign company if the Benefitted Intangible Assets were either developed by the Special Preferred Technological Enterprise or acquired from a foreign company on or after January 1, 2017, and the sale received prior approval from IIA. A Special Preferred Technological Enterprise that acquires Benefitted Intangible Assets from a foreign company for more than NIS 500 million will be eligible for these benefits for at least ten years, subject to certain approvals as specified in the Investment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Dividends distributed by a Preferred Technological Enterprise or a Special Preferred Technological Enterprise, paid out of Preferred Technological Income, are generally subject to withholding tax at source at the rate of 20% or such lower rate as may be provided in an applicable tax treaty. However, if such dividends are paid to an Israeli company, no tax is required to be withheld. If such dividends are distributed to a foreign company and other conditions are met, the withholding tax rate will be 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in the future we generate taxable income, to the extent that we qualify as a “Preferred Company,” the benefits provided under the Investment Law could potentially reduce our corporate tax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our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Israeli capital gain tax is imposed on the disposal of capital assets by an Israeli resident, and on the disposal of such assets by a non-Israeli resident if those assets are either (i) located in Israel; (ii) are shares or a right to a share in an Israeli resident corporation, or (iii) represent, directly or indirectly, rights to assets located in Israel. The Israeli Income Tax Ordinance of 1961 (New Version), or the Ordinance, distinguishes between “Real Gain” and the “Inflationary Surplus.” The Inflationary Surplus is a portion of the total capital gain which is equivalent to the increase of the relevant asset’s purchase price which is attributable to the increase in the Israeli consumer price index or the foreign exchange rate differences in certain cases, between the date of purchase and the date of sale. The Real Gain is the excess of the total capital gain over Inflationary Surplus. Inflationary Surplus generated from December 31, 1993, is not subject to tax in Israel.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Real Gain accrued by individuals on the sale of our ordinary shares will be taxed at the rate of 25%. However, if the individual shareholder is a “Substantial Shareholder” (i.e., a person who holds, directly or indirectly, alone or together with such person’s relative or another person who collaborates with such person on a permanent basis, 10% or more of one of the Israeli resident company’s “means of control.” “Means of control” generally includes the right to vote, receive profits, nominate a director or an officer, receive assets upon liquidation, or order someone who holds any of the aforesaid rights how to act, and all regardless of the source of such right) at the time of sale or at any time during the preceding 12 months period, such gain will be taxed at the rate of 30%.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Capital Gain derived by corporations will be generally subject to a corporate tax rate of 23% (in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Taxes is Applicable also to Non-Israeli Resident Shareholders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non-Israeli resident who derives capital gains from the sale, exchange or disposition of shares in an Israeli resident company listed on a non-Israeli stock exchange may be exempt from Israeli tax so long as the following cumulative conditions are met: (i) the shares were purchased upon or after the registration of the securities on the stock exchange, (ii) the seller does not have a permanent establishment in Israel to which the derived capital gain is attributed, and (iii) the capital gains are neither subject to section 101 of the Ordinance, nor to the Israeli Income Tax Law (Inflationary Adjustments)-1985.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Furthermore, such exemption is not applicable to a person whose gains from selling or otherwise disposing of the securities are deemed to be business income.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(subject to the receipt in advance of a valid certificate from the Israel Tax Authority, or the ITA). For example, under Convention Between the Government of the United States of America and the Government of the State of Israel with respect to Taxes on Income, as amended, or the U.S.-Israel Tax Treaty, the sale, exchange or other disposition of shares by a shareholder who is a United States resident (for purposes of the treaty) holding the shares as a capital asset and is entitled to claim the benefits afforded to such a resident by the U.S.-Israel Tax Treaty, or a Treaty U.S. Resident, is generally exempt from Israeli capital gains tax unless either: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of the Treaty U.S. Resident maintained in Israel, under certain terms; (iv) such Treaty U.S. Resident holds, directly or indirectly, shares representing 10% or more of the voting capital during any part of the 12-month period preceding the sale, exchange or disposition, subject to certain conditions; or (v) such Treaty U.S. Resident is an individual and was present in Israel for 183 days or more during the relevant taxable year. In any of these cases, the sale, exchange or disposition of our ordinary shares would be subject to Israeli tax, to the extent applicable. However, under the U.S.-Israel Tax Treaty, such Treaty U.S. Resident would be permitted to claim a credit for the tax against the U.S. federal income tax imposed with respect to the sale, exchange or disposition, subject to the limitations in U.S. laws applicable to foreign tax credits. The U.S.-Israel Tax Treaty does not provide such credit against any U.S. state or local taxes.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Israeli Tax Authority may require from shareholders who are not liable for Israeli tax to sign declarations in forms specified by this authority or obtain a specific exemption from the Israeli Tax Authority to confirm their status as non-Israeli residents, and, in the absence of such declarations or exemptions, may require the purchaser of the shares to withhold taxes at source.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non-Israeli shareholders on receipt of dividends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Non-Israeli residents (whether individuals or corporations) are generally subject to Israeli income tax on the receipt of dividends paid on our ordinary shares at the rate of 25% (or 30% in the case such shareholder is considered a “substantial shareholder” at any point in the preceding 12 month period), which tax will be withheld at source, unless relief is provided in an applicable tax treaty between Israel and the shareholder’s country of residence. However, a distribution of dividends to non-Israeli residents is subject to withholding tax at source at a rate of 20% if the dividend is distributed from income attributed to a Preferred (including Preferred Technological) Enterprise. If the dividend is attributable in part to income derived from a Preferred Enterprise or a Preferred Technological Enterprise, the withholding rate will be a blended rate reflecting the relative portions of the types of income. We cannot assure you that we will designate the profits that we may distribute in a way that will reduce shareholders’ tax liability. Such dividends are generally subject to Israeli withholding tax at a rate of 25% so long as the shares are registered with a nominee company (whether the recipient is a substantial shareholder or not) and 20% if the dividend is distributed from income attributed to a Preferred Enterprise or a Preferred Technological Enterprise.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a reduced tax rate may be provided under an applicable tax treaty. For example, under the U.S.-Israel Tax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Notwithstanding the foregoing, dividends are distributed from income attributed to a Preferred Enterprise, or a Preferred Technological Enterprise are not entitled to such reduced rate under the tax treaty but are subject to a withholding tax rate of 15% for a shareholder that is a U.S. corporation, provided that the conditions related to the outstanding voting rights and the gross income for the previous year (as set forth in the previous sentence) are met. If the dividend is attributable partly to income derived from a Preferred Enterprise or a Preferred Technological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Application for the reduced tax rate requires appropriate documentation presented and specific instruction received from the ITA to the extent tax is withheld at source at the maximum rates (see above), a qualified tax treaty recipient will be required to comply with certain administrative procedures with the Israeli Tax Authorities in order to receive a refund of the excess tax withheld.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foreign resident receiving dividend income from an Israeli company, from which the full tax was deducted, will generally be exempt from filing a tax return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(see below) in accordance with section 121B of the Ordinance.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 Withholding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all of the above, any payment made by an Israeli resident company may be subject to Israeli withholding tax, regardless of whether the recipient should be subject to Israeli tax with respect to the receipt of such payment, unless the recipient provides the company with a valid certificate issued by the ITA to exempt the recipient from such withholding tax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Tax</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721,560 for 2025, which amount is linked to the annual change in the Israeli consumer price index (according to the latest legislative acts, such linkage will be freeze for the years 2025-2027).</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above, as of January 1, 2025, individuals whose taxable income from capital sources (income from capital gains, dividends and interests) in the tax year exceeds the amount specified above (NIS 721,560 also in 2025), will be subject to an additional tax at a rate of 2% (5% in total), on the portion of their taxable income from capital sources that exceeds the amount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Transfer Pricing Regulations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29, 2006, Income Tax Regulations (Determination of Market Terms) promulgated under Section 85A of the Ordinance, came into effect (“</w:t>
      </w:r>
      <w:r>
        <w:rPr>
          <w:rFonts w:ascii="Times New Roman" w:cs="Times New Roman" w:eastAsia="Times New Roman" w:hAnsi="Times New Roman"/>
          <w:sz w:val="18"/>
          <w:szCs w:val="18"/>
          <w:b w:val="1"/>
          <w:bCs w:val="1"/>
          <w:color w:val="auto"/>
        </w:rPr>
        <w:t>TP Regulations</w:t>
      </w:r>
      <w:r>
        <w:rPr>
          <w:rFonts w:ascii="Times New Roman" w:cs="Times New Roman" w:eastAsia="Times New Roman" w:hAnsi="Times New Roman"/>
          <w:sz w:val="18"/>
          <w:szCs w:val="18"/>
          <w:color w:val="auto"/>
        </w:rPr>
        <w:t>”). Section 85A of the Ordinance and the TP Regulations generally require that all cross-border transactions carried out between related parties be conducted on an arm’s length principal basis and will be taxed accordingly.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ORDINARY SHARES, INCLUDING THE EFFECTS OF APPLICABLE STATE, LOCAL, FOREIGN OR OTHER TAX LAWS AND POSSIBLE CHANGES IN THE TAX LAWS.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limitations described in the next two paragraphs, the following discussion summarizes certain material U.S. federal income tax consequences to a “U.S. Holder” arising from the purchase, ownership and sale of the ordinary shares. For this purpose, a “U.S. Holder” is a holder of ordinary shares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created or organized under the laws of the United States or the District of Columbia or any political subdivision thereof;</w:t>
      </w:r>
    </w:p>
    <w:p>
      <w:pPr>
        <w:spacing w:after="0" w:line="3" w:lineRule="exact"/>
        <w:rPr>
          <w:sz w:val="20"/>
          <w:szCs w:val="20"/>
          <w:color w:val="auto"/>
        </w:rPr>
      </w:pPr>
    </w:p>
    <w:p>
      <w:pPr>
        <w:jc w:val="both"/>
        <w:ind w:firstLine="8"/>
        <w:spacing w:after="0" w:line="253"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7" w:name="page98"/>
    <w:bookmarkEnd w:id="9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summary is for general information purposes only and does not purport to be a comprehensive description of all of the U.S. federal income tax considerations that may be relevant to a decision to purchase our ordinary shares. This summary generally considers only U.S. Holders that will own our ordinary shares as capital assets. Except to the limited extent discussed below, this summary does not consider the U.S. federal tax consequences to a person that is not a U.S. Holder, nor does it describe the rules applicable to determine a taxpayer’s status as a U.S. Holder. This summary is based on the provisions of the Code and final, temporary and proposed U.S. Treasury regulations promulgated thereunder, administrative and judicial interpretations thereof, and the U.S.-Israel Income Tax Treaty, all as in effect as of the date hereof and all of which are subject to change, possibly on a retroactive basis, and all of which are open to differing interpretations. We will not seek a ruling from the Internal Revenue Service, or the IRS, with regard to the U.S. federal income tax treatment of an investment in our ordinary shares by U.S. Holders and, therefore, can provide no assurances that the IRS will agree with the conclusions set forth below.</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non-U.S.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3" w:lineRule="exact"/>
        <w:rPr>
          <w:sz w:val="20"/>
          <w:szCs w:val="20"/>
          <w:color w:val="auto"/>
        </w:rPr>
      </w:pPr>
    </w:p>
    <w:p>
      <w:pPr>
        <w:jc w:val="both"/>
        <w:ind w:firstLine="8"/>
        <w:spacing w:after="0" w:line="252"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or grantor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or constructively, at any time, ordinary shares representing 10% or more of the shares of our company. Additionally, the U.S. federal income tax treatment of partnerships (or other pass-through entities) or persons who hold ordinary shares through a partnership or other pass-through entity are not addressed.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prospective investor is advised to consult his or her own tax adviser for the specific tax consequences to that investor of purchasing, holding or disposing of our ordinary shares, including the effects of applicable state, local, non-U.S. or other tax laws and possible changes in the tax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Paid on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the ordinary shares (including the amount of any Israeli tax withheld on the date of the distribution), to the extent that such distribution does not exceed our current and accumulated earnings and profits, as determined for U.S. federal income tax purposes. The amount of a distribution that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that includes an exchange of information program. The IRS has stated that the U.S.-Israel Tax Treaty satisfies this requirement and we believe we are eligible for the benefits of that treaty.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dividends will be qualified dividend income if our ordinary shares are readily tradable on the Nasdaq Capital Market or another established securities market in the United States. Dividends will not qualify for the preferential rate if we are treated, in the year the dividend is paid or in the prior year, as a passive foreign investment company, or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with respect to positions in substantially similar or related property. Any days during which the U.S. Holder has diminished its risk of loss on our ordinary shares are not counted towards meeting the 61-day holding period. Finally, U.S. Holders who elect to treat the dividend income as “investment income” pursuant to Section 163(d)(4) of the Code will not be eligible for the preferential rate of taxation.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of a distribution with respect to our ordinary shares will be measured by the amount of the fair market value of any property distributed, and for U.S. federal income tax purposes, the amount of any Israeli taxes withheld therefrom. 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into U.S. dollars or otherwise disposes of them, any subsequent gain or loss in respect of such NIS arising from exchange rate fluctuations will be U.S. source ordinary exchange gain or loss.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certain significant conditions and limitations, any Israeli taxes paid on or withheld from distributions from us and not refundable to a U.S. Holder may be credited against the U.S. Holder’s U.S. federal income tax liability or, alternatively, may be deducted from the U.S. Holder’s taxable income. However, as a result of recent changes to the U.S. foreign tax credit rules, a withholding tax generally may need to satisfy certain additional requirements in order to be considered a creditable tax for a U.S. Holder. We have not determined whether these requirements have been met and, accordingly, no assurance can be given that any withholding tax on dividends paid by us will be creditable. The election to deduct, rather than credit, foreign taxes, is made on a year-by-year basis and applies to all foreign taxes paid by a U.S. Holder or withheld from a U.S. Holder that year. Dividends paid with respect to our ordinary shares will be treated as foreign source income, which may be relevant in calculating the U.S. Holder’s foreign tax credit limitation.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The rules relating to the determination of the foreign tax credit are complex, and U.S. Holders should consult their tax advisor to determine whether and to what extent such holder will be entitled to this credit.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paid with respect to our ordinary shares will not be eligible for the “dividends-received” deduction generally allowed to corporate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with respect to dividends received from U.S. corporations.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Sale, Exchange or other Disposition of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determined in U.S. dollars, and the U.S. dollar value of the amount realized on the disposition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 U.S. Holders should consult their own tax advisors regarding the U.S. federal income tax consequences of receiving currency other than U.S. dollars upon the disposition of their ordinary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Special U.S. federal income tax laws apply to U.S. taxpayers who own shares of a corporation that is a PFIC. We will be treated as a PFIC for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 for any taxable year that either:</w:t>
      </w:r>
    </w:p>
    <w:p>
      <w:pPr>
        <w:spacing w:after="0" w:line="207" w:lineRule="exact"/>
        <w:rPr>
          <w:sz w:val="20"/>
          <w:szCs w:val="20"/>
          <w:color w:val="auto"/>
        </w:rPr>
      </w:pPr>
    </w:p>
    <w:p>
      <w:pPr>
        <w:ind w:left="980" w:right="2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(including our pro rata share of gross income for any company, in which we are considered to own 25% or more of the shares by value), in a taxable year is passive;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our assets generally determined on the basis of a quarterly average and based upon fair market value (including our pro rata share of the assets of any company in which we are considered to own 25% or more of the shares by value) are held for the production of, or produce, passive income.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this purpose, passive income generally consists of rents, dividends, interest, royalties, gains from the disposition of passive assets and gains from commodities and securities transactions. Generally, cash is treated as generating passive income and is therefore treated as a passive asset for purposes of the PFIC rules.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our market capitalization and the composition of our income, assets and operations, there can be no assurance that we were not a PFIC for the year ended December 31, 2024, and although we have not determined whether we will be a PFIC for United States federal income tax purposes for the year ending December 31, 2025, or in any subsequent year, there can be no assurance that our market capitalization and the composition of our income, assets and operations for any such years will not cause us to be a PFIC. The tests for determining PFIC status are applied annually, and it is difficult to make accurate projections of future income and assets which are relevant to this determination. In addition, our PFIC status may depend in part on the market value of our ordinary shares. Accordingly, there can be no assurance that we currently are not or will not become a PFIC.</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currently are or become a PFIC, each U.S. Holder who has not elected to mark the shares to market (as discussed below), would, upon receipt of certain “excess distributions” by us and upon disposition of our ordinary shares at a gain: (1) have such excess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Distributions received by a U.S. Holder in a taxable year that are greater than 125% of the average annual distributions received during the shorter of the three preceding taxable years or the U.S. Holder’s holding period for the ordinary shares will be treated as excess distributions.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PFIC rules described above would not apply to a U.S. Holder who makes a qualified electing fund, or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 We do not intend to notify U.S. Holders if we believe we will be treated as a PFIC for any tax year. In addition, we do not intend to furnish U.S. Holders annually with information needed in order to complete IRS Form 8621 and to make and maintain a valid QEF election for any year in which we or any of our subsidiaries are a PFIC. Therefore, the QEF election will not be available with respect to our ordinary shares.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generally is required to file an IRS Form 8621 with such U.S. Holder’s U.S. federal income tax return and provide such other information as the IRS may require. Failure to file IRS Form 8621 for each applicable taxable year may result in substantial penalties and result in the U.S. Holder’s taxable years being open to audit by the IRS until such forms are properly filed.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Holders who hold our ordinary shares during a period when we are a PFIC generally will be subject to the foregoing rules, even if we cease to be a PFIC. A U.S. Holder is encouraged to consult its tax advisor with respect to any available elections that may be applicable in such a situation, including a “deemed sale” election. The U.S. federal income tax rules relating to PFICs are complex. U.S. Holders are urged to consult their own tax advisors with respect to the consequences to them of an investment in a PFIC, any elections available with respect to the ordinary shares and the IRS information reporting obligations with respect to the purchase, ownership, and disposition of the ordinary shares in the event we are determined to be a PFIC.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on Net Investment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to beneficiaries of the estate or trust. In each case, the 3.8% Medicare tax applies only to the extent the U.S. Holder’s total adjusted income exceeds applicable thresholds.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U.S. Holders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You should consult your own tax advisor as to the possible obligation to file such information report.</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AND IS NOT INTENDED TO CONSTITUTE A COMPLETE ANALYSIS OF ALL TAX CONSEQUENCES RELATING TO THE PURCHASE, OWNERSHIP AND DISPOSITION OF OUR ORDINARY SHARES. IT DOES NOT COVER ALL TAX MATTERS THAT MAY BE OF IMPORTANCE TO A PROSPECTIVE INVESTOR. EACH PROSPECTIVE INVESTOR IS URGED TO CONSULT ITS OWN TAX ADVISOR ABOUT THE TAX CONSEQUENCES TO IT RELATING TO THE PURCHASE, OWNERSHIP, AND DISPOSITION OF ORDINARY SHARES IN LIGHT OF THE INVESTOR’S OWN CIRCUMSTANCES.</w:t>
      </w:r>
    </w:p>
    <w:p>
      <w:pPr>
        <w:spacing w:after="0" w:line="179"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certain information reporting requirements of the Exchange Act, applicable to foreign private issuers and under those requirements will file reports with the SEC. The SEC maintains an internet site at http://www.sec.gov that contains reports, proxy and information statements and other information regarding issuers that file electronically with the SEC. Our filings with the SEC will also be available to the public through the SEC’s website at www.sec.gov.</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domestic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may submit to the SEC, on a Form 6-K, unaudited quarterly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some of our cash and cash equivalents is held in deposits that bear interest. Given the current low rates of interest we receive, we will not be adversely affected if such rates are reduced. Our market risk exposure is primarily a result of U.S. dollar/NIS exchange rates, which is discussed in detail in the following paragraph.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 are subject to fluctuations due to changes in U.S. dollar/NIS currency exchange rates. A certain portion of our cash and cash equivalents is held in U.S. dollars, and the vast majority of our expenses is denominated in NIS. Changes of 5% and 10% in the U.S. dollar/NIS exchange rate would increase/decrease our operating expenses for the year ended December 31, 2024 by approximately 4.1% and 7.8%, respectively. However, these historical figures may not be indicative of future exposure, as we expect that the percentage of our NIS denominated expenses will decrease in the near future as our operations expand globally, therefore reducing our exposure to exchange rate fluctuations. Currently,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monitor forecasts of our liquidity reserve (comprising cash and cash equivalents). We generally carry this out based on our expected cash flows in accordance with practice and limits set by our management. We are in the process of expanding our operations and the expenses associated therewith and we are therefore exposed to liquidity risk. However, we believe that our existing funds will enable us to fund our operating expenses and capital expenditure requirements for the twelve months following the date of this Annual Report on Form 20-F.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have not invested in securities riskier than short-term bank deposits, we do not believe that changes in equity prices pose a material risk to our holdings. However, decreases in the market price of our ordinary shares could make it more difficult for us to raise additional funds in the future or require us to raise funds at terms unfavorable to 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October 2024, we entered into the SEPA with Yorkville, as amended in February 2025, pursuant to which we have the right to sell to Yorkville up to $30.0 million in ordinary shares subject to certain limitations, from time to time during the 36-month period following the date of execution of the SEPA. The purchase price for the ordinary shares that we may sell to Yorkville will fluctuate based on the price of our ordinary shares. Depending on market liquidity at the time, sales of such ordinary shares may cause the trading price of our ordinary shares to fall. After Yorkville has acquired the ordinary shares, YA may resell all, some, or none of those shares at any time or from time to time in its discretion. The sale of a substantial number of shares of our ordinary shares to Yorkville, or the anticipation of such sales, could make it more difficult for us to sell equity or equity-related securities in the future at a price that we might otherwise wish to effect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modifications to the rights of security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2024,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2024 at providing reasonable assurance regarding the reliability of financial reporting and the preparation of financial statements for external purposes in accordance with generally accepted accounting principles.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independent registered public accounting firm regarding internal control over financial reporting due to an exemption for emerging growth companies provided in the JOBS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there were no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Oz Adler,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Ethics is posted on our website at </w:t>
      </w:r>
      <w:r>
        <w:rPr>
          <w:rFonts w:ascii="Times New Roman" w:cs="Times New Roman" w:eastAsia="Times New Roman" w:hAnsi="Times New Roman"/>
          <w:sz w:val="18"/>
          <w:szCs w:val="18"/>
          <w:i w:val="1"/>
          <w:iCs w:val="1"/>
          <w:color w:val="auto"/>
        </w:rPr>
        <w:t>www.railvision.io.</w:t>
      </w:r>
      <w:r>
        <w:rPr>
          <w:rFonts w:ascii="Times New Roman" w:cs="Times New Roman" w:eastAsia="Times New Roman" w:hAnsi="Times New Roman"/>
          <w:sz w:val="18"/>
          <w:szCs w:val="18"/>
          <w:color w:val="auto"/>
        </w:rPr>
        <w:t xml:space="preserve"> Information contained on, or that can be accessed through, our website does not constitute a part of this a part of this Annual Report on Form 20-F and is not incorporated by reference herein. If we make any amendment to the Code of Ethics or grant any waivers, including any implicit waiver, from a provision of the Code of Ethics, we will disclose the nature of such amendment or waiver on our website to the extent required by the rules and regulations of the SEC. We have not granted any waivers under our Code of Business Conduct and Ethics.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Brightman Almagor Zohar &amp; Co., a Firm in the Deloitte Global Network, an independent registered public accounting firm, or Deloitte, has served as our principal independent registered public accounting firm for the year ended December 31, 2024, and 2023.</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Audit-related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421"/>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9"/>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4"/>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bottom w:val="single" w:sz="8" w:color="auto"/>
            </w:tcBorders>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-462280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-179070</wp:posOffset>
            </wp:positionV>
            <wp:extent cx="713232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-744855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 Audit fees consist of professional services provided in connection with the audit of our annual financial statements, consents and a comfort letters.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of Auditors’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and warrants on the Nasdaq Capital Market, we are required to comply with the Nasdaq Listing Rules. Under those rules, we may elect to follow certain corporate governance practices permitted under the Companies Law in lieu of compliance with corresponding corporate governance requirements otherwise imposed by the Nasdaq Listing Rules for U.S. domestic issuers.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05" w:name="page106"/>
    <w:bookmarkEnd w:id="105"/>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Israeli law and practice and subject to the exemption set forth in Rule 5615 of the Nasdaq Listing Rules, we have elected to follow the provisions of the Companies Law, rather than the Nasdaq Listing Rules, with respect to the following requirements:</w:t>
      </w:r>
    </w:p>
    <w:p>
      <w:pPr>
        <w:spacing w:after="0" w:line="160" w:lineRule="exact"/>
        <w:rPr>
          <w:sz w:val="20"/>
          <w:szCs w:val="20"/>
          <w:color w:val="auto"/>
        </w:rPr>
      </w:pPr>
    </w:p>
    <w:p>
      <w:pPr>
        <w:jc w:val="both"/>
        <w:ind w:left="980" w:hanging="324"/>
        <w:spacing w:after="0" w:line="257"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of periodic reports to shareholders; proxy solicitation. </w:t>
      </w:r>
      <w:r>
        <w:rPr>
          <w:rFonts w:ascii="Times New Roman" w:cs="Times New Roman" w:eastAsia="Times New Roman" w:hAnsi="Times New Roman"/>
          <w:sz w:val="18"/>
          <w:szCs w:val="18"/>
          <w:color w:val="auto"/>
        </w:rPr>
        <w:t>As opposed to the Nasdaq Listing Rules, which require listed issuers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While the Nasdaq Listing Rules require that the quorum for purposes of any meeting of the holders of a listed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stock, as specified in the company’s bylaws, be no less than 33 1/3% of the company’s outstanding issued and outstanding share capital, under Israeli law, a company is entitled to determine in its articles of association the number of shareholders and percentage of holdings required for a quorum at a shareholders meeting. Our amended and restated articles of association provides that a quorum of two or more shareholders holding at least 25% of the voting rights in person or by proxy is required for commencement of business at a general meeting. However, the quorum set forth in our amended and restated articles of association with respect to an adjourned meeting consists of any number of shareholders present in person or by proxy.</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Nomination of our directors. </w:t>
      </w:r>
      <w:r>
        <w:rPr>
          <w:rFonts w:ascii="Times New Roman" w:cs="Times New Roman" w:eastAsia="Times New Roman" w:hAnsi="Times New Roman"/>
          <w:sz w:val="18"/>
          <w:szCs w:val="18"/>
          <w:color w:val="auto"/>
        </w:rPr>
        <w:t>Our amended and restated articles of association provides that shareholders are entitled to appoint a director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for each 10% of the Company’s outstanding share capital that they own and such appointment shall be for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 nominations for directors are made in accordance with the provisions of our amended and restated articles of association and the Companies Law. Nominations need not be made by a nominating committee of our board of directors consisting solely of independent directors, as required under the Nasdaq Listing Rules.</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of officers. </w:t>
      </w:r>
      <w:r>
        <w:rPr>
          <w:rFonts w:ascii="Times New Roman" w:cs="Times New Roman" w:eastAsia="Times New Roman" w:hAnsi="Times New Roman"/>
          <w:sz w:val="18"/>
          <w:szCs w:val="18"/>
          <w:color w:val="auto"/>
        </w:rPr>
        <w:t>Israeli law and our amended and restated articles of association does not require that the independent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(or a compensation committee composed solely of independent members of our board of directors) determine an executive officer’s compensation, as is generally required under the Nasdaq Listing Rules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Companies Law.</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Israeli law does not require that a majority of the directors serving on our board of directors be “independent,”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under Nasdaq Stock Market Rule 5605(a)(2), and rather requires we have at least two external directors who meet the requirements of the Companies Law, as described below under “Directors, Senior Management and Employees—Board Practices—External Directors.” The definition of independent director under Nasdaq Listing Rules and external director under the Companies Law overlap to a significant degree such that we would generally expect the directors serving as external directors to satisfy the requirements to be independent under Nasdaq Listing Rules. However, it is possible for a director to qualify as an ‘‘external director’’ under the Companies Law without qualifying as an ‘‘independent director’’ under the Nasdaq Listing Rules, or vice-versa. Our board of directors has determined that Mr. Yossi Daskal, Oz Adler, and Mrs. Inbal Kreiss are “independent” for purposes of the Nasdaq Listing Rules.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“independent directors” as defined in the Companies Law. Furthermore, Israeli law does not require, nor do our independent directors conduct, regularly scheduled meetings at which only they are present, which the Nasdaq Listing Rules otherwise require.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6" w:name="page107"/>
    <w:bookmarkEnd w:id="106"/>
    <w:p>
      <w:pPr>
        <w:jc w:val="both"/>
        <w:ind w:left="980" w:hanging="324"/>
        <w:spacing w:after="0" w:line="25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approval. </w:t>
      </w:r>
      <w:r>
        <w:rPr>
          <w:rFonts w:ascii="Times New Roman" w:cs="Times New Roman" w:eastAsia="Times New Roman" w:hAnsi="Times New Roman"/>
          <w:sz w:val="18"/>
          <w:szCs w:val="18"/>
          <w:color w:val="auto"/>
        </w:rPr>
        <w:t>We will seek shareholder approval for all corporate actions requiring such approval under the requirements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Law, rather than seeking approval for corporate actions in accordance with Nasdaq Stock Market Rule 5635. In particular, under this Nasdaq Stock Market rule, shareholder approval is generally required for: (i) an acquisition of shares or 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 or amendment of equity compensation arrangements (although under the provisions of the Companies Law there is no requirement for shareholder approval for the adoption/amendment of the equity compensation plan); and (iv) issuances of 20% or more of the shares or voting rights (including securities convertible into, or exercisable for, equity) of a listed company via a private placement (and/or via sales by directors, officers or 5% shareholders) if such equity is issued (or sold) at below the greater of the book or market value of shares. By contrast, under the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and (iii) terms of employment or other engagement of the controlling shareholder of us or such controlling shareholder’s relative, which require special approval. In addition, under the Companies Law, a merger requires approval of the shareholders of each of the merging companies.</w:t>
      </w:r>
    </w:p>
    <w:p>
      <w:pPr>
        <w:spacing w:after="0" w:line="19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Related Party Transactions</w:t>
      </w:r>
      <w:r>
        <w:rPr>
          <w:rFonts w:ascii="Times New Roman" w:cs="Times New Roman" w:eastAsia="Times New Roman" w:hAnsi="Times New Roman"/>
          <w:sz w:val="18"/>
          <w:szCs w:val="18"/>
          <w:color w:val="auto"/>
        </w:rPr>
        <w:t>. All related party transactions are approved in accordance with the requirements and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interested party acts and transaction as set forth in the Companies Law, which requires the approval of the audit committee, or the compensation committee, as the case may be, the board of directors and shareholders, as may be applicable, for specified transactions, rather than approval by the audit committee or other independent body of our board of directors as required under the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 statement of trading policies that governs the trading in our securities by our directors, officers and certain other covered persons, and which is reasonably designed to promote compliance with applicable insider trading laws, rules and regulations, and any listing standards applicable to the Company. A copy of the Insider Trading Policy is included as Exhibit 11.1 to this annual report. In addition, with regard to any trading in our own securities, it is our policy to comply with the federal securities laws and the applicable exchange listing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developed and maintain a cybersecurity risk management program, consisting of cybersecurity policies, procedures, compliance and awareness programs to mitigate risk and to ensure compliance with security, availability and confidentiality trust principles. The cybersecurity process has been integrated into our overall risk management system and process, and is solely internally managed. Management is responsible for identifying risks that threaten achievement of the control activities stated in the management’s description of the services organizations systems. Management has implemented a process for identifying relevant risks that could affect the organization’s ability to provide secure and reliable service to its users. The risk assessment occurs annually, or as business needs change, and covers identification of risks that could act against the company’s objectives as well as specific risks related to a compromise to the security of data. See “Item 3.D Risk Factors—Risks Related to Our Business and Industry— Our business and operations might be adversely affected by security breaches, including any cybersecurity incidents.”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level of each identified risk is determined by considering the impact of the risk itself and the likelihood of the risk materializing and high scoring risks are actioned upon. Risks are analyzed to determine whether the risk meets company risk acceptance criteria to be accepted or whether a mitigation plan will be applied. Mitigation plans include both the individual or department responsible for the plan and may include budget considerations.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oversight of cybersecurity threats is undertaken by our Chief Operating Officer. Our organization is proudly certified to ISO 27001, demonstrating our commitment to maintaining high standards in information security management. Additionally, we benefit from the support of a trusted local subcontractor who supports our Chief Operating Officer and provides services related to Chief Information Security Officer (CISO) activities, ensuring that our security practices remain robust and effective.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is responsible for cybersecurity oversight and monitoring risk. Management informs the audit committee of such risk by committee meetings.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are not aware of any material risks from cybersecurity threats that have materially affected or are reasonably likely to materially affect us, including our business strategy, results of operations or financial condition.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and related information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and the related notes required by this Item are included in this Annual Report on Form 20-F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tab/>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8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Articles of Association of the Company, as currently in effect (included as Exhibit 3.1 to the Registration Statement</w:t>
              </w:r>
            </w:hyperlink>
          </w:p>
        </w:tc>
      </w:tr>
      <w:tr>
        <w:trPr>
          <w:trHeight w:val="216"/>
        </w:trPr>
        <w:tc>
          <w:tcPr>
            <w:tcW w:w="1160" w:type="dxa"/>
            <w:vAlign w:val="bottom"/>
            <w:shd w:val="clear" w:color="auto" w:fill="CCEEFF"/>
          </w:tcPr>
          <w:p>
            <w:pPr>
              <w:spacing w:after="0"/>
              <w:rPr>
                <w:sz w:val="18"/>
                <w:szCs w:val="18"/>
                <w:color w:val="auto"/>
              </w:rPr>
            </w:pPr>
          </w:p>
        </w:tc>
        <w:tc>
          <w:tcPr>
            <w:tcW w:w="1008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on Form F-3 as filed with the Securities and Exchange Commission March 15, 2024 and incorporated herein by reference).</w:t>
              </w:r>
            </w:hyperlink>
          </w:p>
        </w:tc>
      </w:tr>
      <w:tr>
        <w:trPr>
          <w:trHeight w:val="216"/>
        </w:trPr>
        <w:tc>
          <w:tcPr>
            <w:tcW w:w="1160" w:type="dxa"/>
            <w:vAlign w:val="bottom"/>
            <w:tcBorders>
              <w:top w:val="single" w:sz="8" w:color="CCEEFF"/>
            </w:tcBorders>
          </w:tcPr>
          <w:p>
            <w:pPr>
              <w:spacing w:after="0"/>
              <w:rPr>
                <w:sz w:val="18"/>
                <w:szCs w:val="18"/>
                <w:color w:val="auto"/>
              </w:rPr>
            </w:pPr>
          </w:p>
        </w:tc>
        <w:tc>
          <w:tcPr>
            <w:tcW w:w="49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Registered under Section 12 of the Securities Exchange Act of 1934</w:t>
            </w:r>
          </w:p>
        </w:tc>
      </w:tr>
      <w:tr>
        <w:trPr>
          <w:trHeight w:val="216"/>
        </w:trPr>
        <w:tc>
          <w:tcPr>
            <w:tcW w:w="1160" w:type="dxa"/>
            <w:vAlign w:val="bottom"/>
            <w:tcBorders>
              <w:top w:val="single" w:sz="8" w:color="CCEEFF"/>
            </w:tcBorders>
          </w:tcPr>
          <w:p>
            <w:pPr>
              <w:spacing w:after="0"/>
              <w:rPr>
                <w:sz w:val="18"/>
                <w:szCs w:val="18"/>
                <w:color w:val="auto"/>
              </w:rPr>
            </w:pPr>
          </w:p>
        </w:tc>
        <w:tc>
          <w:tcPr>
            <w:tcW w:w="49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r>
      <w:tr>
        <w:trPr>
          <w:trHeight w:val="176"/>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Warrant (included as Exhibit 4.3 to the Registration Statement on Form F-1 as filed with the Securities and Exchange Commission</w:t>
              </w:r>
            </w:hyperlink>
          </w:p>
        </w:tc>
      </w:tr>
      <w:tr>
        <w:trPr>
          <w:trHeight w:val="216"/>
        </w:trPr>
        <w:tc>
          <w:tcPr>
            <w:tcW w:w="1160" w:type="dxa"/>
            <w:vAlign w:val="bottom"/>
            <w:shd w:val="clear" w:color="auto" w:fill="CCEEFF"/>
          </w:tcPr>
          <w:p>
            <w:pPr>
              <w:spacing w:after="0"/>
              <w:rPr>
                <w:sz w:val="18"/>
                <w:szCs w:val="18"/>
                <w:color w:val="auto"/>
              </w:rPr>
            </w:pPr>
          </w:p>
        </w:tc>
        <w:tc>
          <w:tcPr>
            <w:tcW w:w="1008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March 24, 2022, as amended, and incorporated herein by reference).</w:t>
              </w:r>
            </w:hyperlink>
          </w:p>
        </w:tc>
      </w:tr>
      <w:tr>
        <w:trPr>
          <w:trHeight w:val="459"/>
        </w:trPr>
        <w:tc>
          <w:tcPr>
            <w:tcW w:w="1160" w:type="dxa"/>
            <w:vAlign w:val="bottom"/>
            <w:tcBorders>
              <w:top w:val="single" w:sz="8" w:color="CCEEFF"/>
              <w:bottom w:val="single" w:sz="8" w:color="auto"/>
            </w:tcBorders>
          </w:tcPr>
          <w:p>
            <w:pPr>
              <w:spacing w:after="0"/>
              <w:rPr>
                <w:sz w:val="24"/>
                <w:szCs w:val="24"/>
                <w:color w:val="auto"/>
              </w:rPr>
            </w:pPr>
          </w:p>
        </w:tc>
        <w:tc>
          <w:tcPr>
            <w:tcW w:w="4920" w:type="dxa"/>
            <w:vAlign w:val="bottom"/>
            <w:tcBorders>
              <w:top w:val="single" w:sz="8" w:color="0000EE"/>
              <w:bottom w:val="single" w:sz="8" w:color="auto"/>
            </w:tcBorders>
          </w:tcPr>
          <w:p>
            <w:pPr>
              <w:ind w:left="4320"/>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EE"/>
              <w:right w:val="single" w:sz="8" w:color="CCEEFF"/>
            </w:tcBorders>
            <w:gridSpan w:val="11"/>
            <w:shd w:val="clear" w:color="auto" w:fill="CCEEFF"/>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Underwriter’s Warrant (included as Exhibit 4.1 to our Registration Statement on Form F-1 as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Exchange Commission on March 24, 2022,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Warrant Agent Agreement (included as Exhibit 4.2 to our Registration Statement on Form F-1 as filed with the Securities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Exchange Commission on March 24, 2022,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Indemnification Agreement (included as Exhibit 10.1 to our Registration Statement on Form F-1 as filed with the Securities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Exchange Commission on March 24, 2022,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Rail Vision Ltd. Amended Share Option Plan, amended as of March 28, 2024 (filed as Exhibit 4.4 to our Annual Report on Form 20-F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with the Securities and Exchange Commission on March 28, 2024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7"/>
                <w:szCs w:val="17"/>
                <w:color w:val="auto"/>
              </w:rPr>
            </w:pP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Compensation Policy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Securities Purchase Agreement (filed as Exhibit 10.1 to our Report on Form 6-K furnished to the Securities and Exchange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Commission on May 11, 2023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Knorr-Bremse Securities Purchase Agreement (filed as Exhibit 10.2 to our Report on Form 6-K furnished to the Securities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Exchange Commission on May 11, 2023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Common Warrant (filed as Exhibit 10.1 to our Report on Form 6-K furnished to the Securities and Exchange Commission on May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4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15, 2023 and incorporated herein by reference).</w:t>
              </w:r>
            </w:hyperlink>
          </w:p>
        </w:tc>
        <w:tc>
          <w:tcPr>
            <w:tcW w:w="664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shd w:val="clear" w:color="auto" w:fill="CCEEFF"/>
          </w:tcPr>
          <w:p>
            <w:pPr>
              <w:spacing w:after="0"/>
              <w:rPr>
                <w:sz w:val="24"/>
                <w:szCs w:val="24"/>
                <w:color w:val="auto"/>
              </w:rPr>
            </w:pPr>
          </w:p>
        </w:tc>
        <w:tc>
          <w:tcPr>
            <w:tcW w:w="10080" w:type="dxa"/>
            <w:vAlign w:val="bottom"/>
            <w:tcBorders>
              <w:bottom w:val="single" w:sz="8" w:color="0000EE"/>
              <w:right w:val="single" w:sz="8" w:color="CCEEFF"/>
            </w:tcBorders>
            <w:gridSpan w:val="11"/>
            <w:shd w:val="clear" w:color="auto" w:fill="CCEEFF"/>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Registration Rights Agreement (filed as Exhibit 10.3 to our Report on Form 6-K furnished to the Securities and Exchange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Commission on May 11, 2023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Placement Agent Agreement dated May 10, 2023 (filed as Exhibit 10.4 to our Report on Form 6-K furnished to the Securities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Exchange Commission on May 11, 2023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Securities Purchase Agreement (filed as Exhibit 99.1 to our Report on Form 6-K furnished to the Securities and Exchange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Commission on January 31, 2024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Borders>
              <w:bottom w:val="single" w:sz="8" w:color="CCEEFF"/>
            </w:tcBorders>
            <w:shd w:val="clear" w:color="auto" w:fill="CCEEFF"/>
          </w:tcPr>
          <w:p>
            <w:pPr>
              <w:spacing w:after="0"/>
              <w:rPr>
                <w:sz w:val="24"/>
                <w:szCs w:val="24"/>
                <w:color w:val="auto"/>
              </w:rPr>
            </w:pPr>
          </w:p>
        </w:tc>
        <w:tc>
          <w:tcPr>
            <w:tcW w:w="10080" w:type="dxa"/>
            <w:vAlign w:val="bottom"/>
            <w:tcBorders>
              <w:bottom w:val="single" w:sz="8" w:color="0000EE"/>
              <w:right w:val="single" w:sz="8" w:color="CCEEFF"/>
            </w:tcBorders>
            <w:gridSpan w:val="11"/>
            <w:shd w:val="clear" w:color="auto" w:fill="CCEEFF"/>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Registration Rights Agreement (filed as Exhibit 99.2 to our Report on Form 6-K furnished to the Securities and Exchange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Commission on January 31, 2024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Pre-Funded Warrant (filed as Exhibit 99.3 to our Report on Form 6-K furnished to the Securities and Exchange Commission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January 31, 2024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spacing w:after="0"/>
              <w:rPr>
                <w:sz w:val="15"/>
                <w:szCs w:val="15"/>
                <w:color w:val="auto"/>
              </w:rPr>
            </w:pPr>
          </w:p>
        </w:tc>
        <w:tc>
          <w:tcPr>
            <w:tcW w:w="1008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Common Warrant (filed as Exhibit 99.4 to our Report on Form 6-K furnished to the Securities and Exchange Commission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January 31, 2024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Facility Agreement, dated January 9, 2024, between L.I.A. Pure Capital Ltd. and Rail Vision Ltd. (filed as Exhibit 99.1 to our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6-K furnished to the Securities and Exchange Commission on January 9, 2024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5"/>
                <w:szCs w:val="15"/>
                <w:color w:val="auto"/>
              </w:rPr>
            </w:pPr>
          </w:p>
        </w:tc>
        <w:tc>
          <w:tcPr>
            <w:tcW w:w="1008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Warrant (filed as Exhibit 99.2 to our Report on Form 6-K furnished to the Securities and Exchange Commission on January 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2024 and incorporated herein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0000EE"/>
              <w:bottom w:val="single" w:sz="8" w:color="auto"/>
            </w:tcBorders>
            <w:gridSpan w:val="2"/>
          </w:tcPr>
          <w:p>
            <w:pPr>
              <w:spacing w:after="0"/>
              <w:rPr>
                <w:sz w:val="24"/>
                <w:szCs w:val="24"/>
                <w:color w:val="auto"/>
              </w:rPr>
            </w:pPr>
          </w:p>
        </w:tc>
        <w:tc>
          <w:tcPr>
            <w:tcW w:w="1820" w:type="dxa"/>
            <w:vAlign w:val="bottom"/>
            <w:tcBorders>
              <w:top w:val="single" w:sz="8" w:color="CCEEFF"/>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w:t>
            </w:r>
          </w:p>
        </w:tc>
        <w:tc>
          <w:tcPr>
            <w:tcW w:w="10080" w:type="dxa"/>
            <w:vAlign w:val="bottom"/>
            <w:tcBorders>
              <w:right w:val="single" w:sz="8" w:color="CCEEFF"/>
            </w:tcBorders>
            <w:gridSpan w:val="11"/>
            <w:shd w:val="clear" w:color="auto" w:fill="CCEEFF"/>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Standby Equity Purchase Agreement dated October 7, 2024, by and between Rail Vision Ltd. and YA II PN, LTD. (filed as Exhibit</w:t>
              </w:r>
            </w:hyperlink>
          </w:p>
        </w:tc>
      </w:tr>
      <w:tr>
        <w:trPr>
          <w:trHeight w:val="20"/>
        </w:trPr>
        <w:tc>
          <w:tcPr>
            <w:tcW w:w="1160" w:type="dxa"/>
            <w:vAlign w:val="bottom"/>
            <w:shd w:val="clear" w:color="auto" w:fill="CCEEFF"/>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4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our Report on Form 6-K furnished to the Securities and Exchange Commission on October 7, 2024 and incorporated herein by</w:t>
              </w:r>
            </w:hyperlink>
          </w:p>
        </w:tc>
      </w:tr>
      <w:tr>
        <w:trPr>
          <w:trHeight w:val="216"/>
        </w:trPr>
        <w:tc>
          <w:tcPr>
            <w:tcW w:w="116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reference)</w:t>
              </w:r>
            </w:hyperlink>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75"/>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Amendment to Standby Equity Purchase Agreement dated February 26, 2025, by and between Rail Vision Ltd. and YA II PN,</w:t>
              </w:r>
            </w:hyperlink>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LTD. (filed as Exhibit 10.1 to our Report on Form 6-K furnished to the Securities and Exchange Commission on February 26, 2025 and</w:t>
              </w:r>
            </w:hyperlink>
          </w:p>
        </w:tc>
      </w:tr>
      <w:tr>
        <w:trPr>
          <w:trHeight w:val="217"/>
        </w:trPr>
        <w:tc>
          <w:tcPr>
            <w:tcW w:w="116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incorporated herein by reference)</w:t>
              </w:r>
            </w:hyperlink>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75"/>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Promissory Note (filed as Exhibit 10.2 to our Report on Form 6-K furnished to the Securities and Exchange Commission on</w:t>
              </w:r>
            </w:hyperlink>
          </w:p>
        </w:tc>
      </w:tr>
      <w:tr>
        <w:trPr>
          <w:trHeight w:val="217"/>
        </w:trPr>
        <w:tc>
          <w:tcPr>
            <w:tcW w:w="1160" w:type="dxa"/>
            <w:vAlign w:val="bottom"/>
            <w:shd w:val="clear" w:color="auto" w:fill="CCEEFF"/>
          </w:tcPr>
          <w:p>
            <w:pPr>
              <w:spacing w:after="0"/>
              <w:rPr>
                <w:sz w:val="18"/>
                <w:szCs w:val="18"/>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October 7, 2024 and incorporated herein by reference)</w:t>
              </w:r>
            </w:hyperlink>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Policy</w:t>
            </w:r>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rule 13a-14(a) of the Securities Exchange Act of 1934</w:t>
            </w:r>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rule 13a-14(a) of the Securities Exchange Act of 1934</w:t>
            </w:r>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18 U.S.C. 1350</w:t>
            </w:r>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18 U.S.C. 1350</w:t>
            </w:r>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08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Brightman Almagor Zohar &amp; Co., a Firm in the Deloitte Global Network.</w:t>
            </w:r>
          </w:p>
        </w:tc>
      </w:tr>
      <w:tr>
        <w:trPr>
          <w:trHeight w:val="216"/>
        </w:trPr>
        <w:tc>
          <w:tcPr>
            <w:tcW w:w="116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75"/>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08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Executive Officer Clawback Policy (filed as Exhibit 97.1 to our Annual Report on Form 20-F filed with the Securities and Exchange</w:t>
              </w:r>
            </w:hyperlink>
          </w:p>
        </w:tc>
      </w:tr>
      <w:tr>
        <w:trPr>
          <w:trHeight w:val="196"/>
        </w:trPr>
        <w:tc>
          <w:tcPr>
            <w:tcW w:w="1160" w:type="dxa"/>
            <w:vAlign w:val="bottom"/>
            <w:shd w:val="clear" w:color="auto" w:fill="CCEEFF"/>
          </w:tcPr>
          <w:p>
            <w:pPr>
              <w:spacing w:after="0"/>
              <w:rPr>
                <w:sz w:val="17"/>
                <w:szCs w:val="17"/>
                <w:color w:val="auto"/>
              </w:rPr>
            </w:pPr>
          </w:p>
        </w:tc>
        <w:tc>
          <w:tcPr>
            <w:tcW w:w="1008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Commission on March 28, 2024 and incorporated herein by reference)</w:t>
              </w:r>
            </w:hyperlink>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1160" w:right="20" w:hanging="1152"/>
        <w:spacing w:after="0" w:line="266" w:lineRule="auto"/>
        <w:tabs>
          <w:tab w:leader="none" w:pos="1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Rail Vision Ltd.’s Annual Report on Form 20-F for the year ended December 31, 2023, formatted in Inline Extensible Business Reporting Language (XBRL): (i) Statement of Financial Position, (ii) Statements of Comprehensive Loss, (iii) Statements of Changes in Equity, (iv) Statements of Cash Flows and (iv)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Form 20-F filed on its behalf.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RAIL VISION LTD.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770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Shahar Hania</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jc w:val="center"/>
              <w:ind w:right="4210"/>
              <w:spacing w:after="0" w:line="191" w:lineRule="exact"/>
              <w:rPr>
                <w:sz w:val="20"/>
                <w:szCs w:val="20"/>
                <w:color w:val="auto"/>
              </w:rPr>
            </w:pPr>
            <w:r>
              <w:rPr>
                <w:rFonts w:ascii="Times New Roman" w:cs="Times New Roman" w:eastAsia="Times New Roman" w:hAnsi="Times New Roman"/>
                <w:sz w:val="18"/>
                <w:szCs w:val="18"/>
                <w:color w:val="auto"/>
              </w:rPr>
              <w:t>Shahar Hania</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Rail Vision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Rail Vision Ltd.</w:t>
            </w:r>
          </w:p>
        </w:tc>
        <w:tc>
          <w:tcPr>
            <w:tcW w:w="40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43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80" w:type="dxa"/>
            <w:vAlign w:val="bottom"/>
          </w:tcPr>
          <w:p>
            <w:pPr>
              <w:spacing w:after="0"/>
              <w:rPr>
                <w:sz w:val="24"/>
                <w:szCs w:val="24"/>
                <w:color w:val="auto"/>
              </w:rPr>
            </w:pPr>
          </w:p>
        </w:tc>
      </w:tr>
      <w:tr>
        <w:trPr>
          <w:trHeight w:val="198"/>
        </w:trPr>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auto"/>
            </w:tcBorders>
            <w:gridSpan w:val="4"/>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40" w:type="dxa"/>
            <w:vAlign w:val="bottom"/>
            <w:gridSpan w:val="7"/>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24"/>
                <w:szCs w:val="24"/>
                <w:color w:val="auto"/>
              </w:rPr>
            </w:pPr>
          </w:p>
        </w:tc>
      </w:tr>
      <w:tr>
        <w:trPr>
          <w:trHeight w:val="466"/>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Statements:</w:t>
            </w:r>
          </w:p>
        </w:tc>
        <w:tc>
          <w:tcPr>
            <w:tcW w:w="9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Comprehensive Loss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Changes in Convertible Preferred Shares and Shareholders’ Equity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F-5 - F-6</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F-28</w:t>
            </w:r>
          </w:p>
        </w:tc>
      </w:tr>
      <w:tr>
        <w:trPr>
          <w:trHeight w:val="432"/>
        </w:trPr>
        <w:tc>
          <w:tcPr>
            <w:tcW w:w="11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080" w:type="dxa"/>
            <w:vAlign w:val="bottom"/>
            <w:tcBorders>
              <w:top w:val="single" w:sz="8" w:color="CCEEFF"/>
              <w:bottom w:val="single" w:sz="8" w:color="auto"/>
            </w:tcBorders>
            <w:gridSpan w:val="3"/>
          </w:tcPr>
          <w:p>
            <w:pPr>
              <w:jc w:val="center"/>
              <w:ind w:right="420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13" w:name="page114"/>
    <w:bookmarkEnd w:id="11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11350" cy="514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14350"/>
                    </a:xfrm>
                    <a:prstGeom prst="rect">
                      <a:avLst/>
                    </a:prstGeom>
                    <a:noFill/>
                  </pic:spPr>
                </pic:pic>
              </a:graphicData>
            </a:graphic>
          </wp:anchor>
        </w:drawing>
      </w:r>
    </w:p>
    <w:p>
      <w:pPr>
        <w:ind w:right="5080"/>
        <w:spacing w:after="0" w:line="27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Shareholders and Board of Directors of RAIL VISION LTD.</w:t>
      </w:r>
    </w:p>
    <w:p>
      <w:pPr>
        <w:spacing w:after="0" w:line="3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Rail Vision Ltd. (the “Company”) as of December 31, 2024 and 2023 and the related statements of comprehensive loss, changes in convertible preferred shares and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46370" cy="14147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524637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 assets</w:t>
            </w:r>
          </w:p>
        </w:tc>
        <w:tc>
          <w:tcPr>
            <w:tcW w:w="4280" w:type="dxa"/>
            <w:vAlign w:val="bottom"/>
            <w:tcBorders>
              <w:bottom w:val="single" w:sz="8" w:color="CCEEFF"/>
            </w:tcBorders>
            <w:gridSpan w:val="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17,238</w:t>
            </w: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right of use asset</w:t>
            </w:r>
          </w:p>
        </w:tc>
        <w:tc>
          <w:tcPr>
            <w:tcW w:w="1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6"/>
            <w:vMerge w:val="continue"/>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20,597</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34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6"/>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no par value and 0.08 NIS par value as of December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 and 2023; Authorized: 100,000,000 and 12,500,000 shares as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2024 and 2023; Issued and outstanding: 37,943,891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2,998,278 shares as of December 31, 2024 and 2023</w:t>
            </w:r>
          </w:p>
        </w:tc>
        <w:tc>
          <w:tcPr>
            <w:tcW w:w="1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114,372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68,681</w:t>
            </w:r>
          </w:p>
        </w:tc>
        <w:tc>
          <w:tcPr>
            <w:tcW w:w="0" w:type="dxa"/>
            <w:vAlign w:val="bottom"/>
          </w:tcPr>
          <w:p>
            <w:pPr>
              <w:spacing w:after="0"/>
              <w:rPr>
                <w:sz w:val="1"/>
                <w:szCs w:val="1"/>
                <w:color w:val="auto"/>
              </w:rPr>
            </w:pPr>
          </w:p>
        </w:tc>
      </w:tr>
      <w:tr>
        <w:trPr>
          <w:trHeight w:val="230"/>
        </w:trPr>
        <w:tc>
          <w:tcPr>
            <w:tcW w:w="54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(96,670)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(65,962)</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20,597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10, 11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(7,145)</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(4,339)</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(11,403)</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(expenses) income:</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derivatives and warrants liabilities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income (expenses), net</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(30,708)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(11,148)</w:t>
            </w:r>
          </w:p>
        </w:tc>
        <w:tc>
          <w:tcPr>
            <w:tcW w:w="32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ordinary share (*)</w:t>
            </w: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used in</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computing basic and diluted loss per ordinary share (*)</w:t>
            </w: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16,625,543</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2,587,290</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1,771,803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292"/>
        <w:spacing w:after="0" w:line="282"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Retroactively adjusted to reflect the issuance of bonus shares effected on February 13, 2022, and a reverse share split of the Company’s ordinary shares effected on November 15, 2023 (see Note 1B).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Convertible Preferred Shares and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60" w:type="dxa"/>
            <w:vAlign w:val="bottom"/>
            <w:tcBorders>
              <w:right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60" w:type="dxa"/>
            <w:vAlign w:val="bottom"/>
            <w:tcBorders>
              <w:right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Preferred A Shares</w:t>
            </w:r>
          </w:p>
        </w:tc>
        <w:tc>
          <w:tcPr>
            <w:tcW w:w="180" w:type="dxa"/>
            <w:vAlign w:val="bottom"/>
          </w:tcPr>
          <w:p>
            <w:pPr>
              <w:spacing w:after="0"/>
              <w:rPr>
                <w:sz w:val="20"/>
                <w:szCs w:val="20"/>
                <w:color w:val="auto"/>
              </w:rPr>
            </w:pPr>
          </w:p>
        </w:tc>
        <w:tc>
          <w:tcPr>
            <w:tcW w:w="1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Ordinary Shares (**)</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78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1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14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0"/>
                <w:szCs w:val="20"/>
                <w:color w:val="auto"/>
              </w:rPr>
            </w:pPr>
          </w:p>
        </w:tc>
        <w:tc>
          <w:tcPr>
            <w:tcW w:w="13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1,144,666</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(44,339)</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CHANGES DURING 2022:</w:t>
            </w:r>
          </w:p>
        </w:tc>
        <w:tc>
          <w:tcPr>
            <w:tcW w:w="1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convertible preferred shares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10,256</w:t>
            </w: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preferred shares into</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upon completion of initial</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(61,538)</w:t>
            </w:r>
          </w:p>
        </w:tc>
        <w:tc>
          <w:tcPr>
            <w:tcW w:w="78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(11,965)</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338,459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units of ordinary shares and</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in connection with the initial public</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net of issuance costs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473,405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13,587</w:t>
            </w:r>
          </w:p>
        </w:tc>
        <w:tc>
          <w:tcPr>
            <w:tcW w:w="0" w:type="dxa"/>
            <w:vAlign w:val="bottom"/>
          </w:tcPr>
          <w:p>
            <w:pPr>
              <w:spacing w:after="0"/>
              <w:rPr>
                <w:sz w:val="1"/>
                <w:szCs w:val="1"/>
                <w:color w:val="auto"/>
              </w:rPr>
            </w:pPr>
          </w:p>
        </w:tc>
      </w:tr>
      <w:tr>
        <w:trPr>
          <w:trHeight w:val="198"/>
        </w:trPr>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debt into ordinary</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upon completion of initial public</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30,266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as a result of</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(10,475)</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(10,475)</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1,987,005</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CHANGES DURING 2023:</w:t>
            </w:r>
          </w:p>
        </w:tc>
        <w:tc>
          <w:tcPr>
            <w:tcW w:w="1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as a result of exercise of</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24,431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units of ordinary shares and</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net of issuance expenses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986,842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(11,148)</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(11,148)</w:t>
            </w: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2,998,278</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less than $1.</w:t>
      </w:r>
    </w:p>
    <w:p>
      <w:pPr>
        <w:spacing w:after="0" w:line="27"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Retroactively adjusted to reflect the issuance of bonus shares effected on February 13, 2022, and a reverse share split of the Company’s ordinary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effected on November 15, 2023 (see Note 1B).</w:t>
      </w:r>
    </w:p>
    <w:p>
      <w:pPr>
        <w:spacing w:after="0" w:line="9" w:lineRule="exact"/>
        <w:rPr>
          <w:sz w:val="20"/>
          <w:szCs w:val="20"/>
          <w:color w:val="auto"/>
        </w:rPr>
      </w:pPr>
    </w:p>
    <w:p>
      <w:pPr>
        <w:ind w:right="4980" w:firstLine="8"/>
        <w:spacing w:after="0" w:line="260" w:lineRule="auto"/>
        <w:tabs>
          <w:tab w:leader="none" w:pos="5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costs in the amount of approximately $2,060. (See Note 9B(3) below). (****) Issuance costs in the amount of approximately $603 (See Note 9B(5)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Convertible Preferred Shares and Shareholders’ Equity (Cont.)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54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A Shares</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Cancelation of the par value of ordinary</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shares (See Note 9A(2))</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units of ordinary shares and pre-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funded warrants, net of issuance costs (*)</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to ordinary shares, net of</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 of warrant liabilities to equity</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warrants (See Note 9B(6))</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SEPA Commitment Shares (See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Note 9B(8))</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in relation to the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SEPA (See Note 9B(8))</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 vesting</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22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87"/>
        </w:trPr>
        <w:tc>
          <w:tcPr>
            <w:tcW w:w="1420" w:type="dxa"/>
            <w:vAlign w:val="bottom"/>
            <w:tcBorders>
              <w:top w:val="single" w:sz="8" w:color="auto"/>
            </w:tcBorders>
            <w:gridSpan w:val="2"/>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3"/>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16"/>
        </w:trPr>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of</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8"/>
        </w:trPr>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20"/>
                <w:szCs w:val="20"/>
                <w:color w:val="auto"/>
              </w:rPr>
            </w:pPr>
          </w:p>
        </w:tc>
        <w:tc>
          <w:tcPr>
            <w:tcW w:w="13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228"/>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2,998,278</w:t>
            </w:r>
          </w:p>
        </w:tc>
        <w:tc>
          <w:tcPr>
            <w:tcW w:w="5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3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0"/>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4"/>
                <w:szCs w:val="24"/>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3,554,200(**)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spacing w:after="0"/>
              <w:rPr>
                <w:sz w:val="24"/>
                <w:szCs w:val="24"/>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1,404</w:t>
            </w:r>
          </w:p>
        </w:tc>
        <w:tc>
          <w:tcPr>
            <w:tcW w:w="40" w:type="dxa"/>
            <w:vAlign w:val="bottom"/>
          </w:tcPr>
          <w:p>
            <w:pPr>
              <w:spacing w:after="0"/>
              <w:rPr>
                <w:sz w:val="24"/>
                <w:szCs w:val="24"/>
                <w:color w:val="auto"/>
              </w:rPr>
            </w:pPr>
          </w:p>
        </w:tc>
      </w:tr>
      <w:tr>
        <w:trPr>
          <w:trHeight w:val="432"/>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16,758,487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25,561</w:t>
            </w:r>
          </w:p>
        </w:tc>
        <w:tc>
          <w:tcPr>
            <w:tcW w:w="140" w:type="dxa"/>
            <w:vAlign w:val="bottom"/>
          </w:tcPr>
          <w:p>
            <w:pPr>
              <w:spacing w:after="0"/>
              <w:rPr>
                <w:sz w:val="24"/>
                <w:szCs w:val="24"/>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25,561</w:t>
            </w:r>
          </w:p>
        </w:tc>
        <w:tc>
          <w:tcPr>
            <w:tcW w:w="40" w:type="dxa"/>
            <w:vAlign w:val="bottom"/>
          </w:tcPr>
          <w:p>
            <w:pPr>
              <w:spacing w:after="0"/>
              <w:rPr>
                <w:sz w:val="24"/>
                <w:szCs w:val="24"/>
                <w:color w:val="auto"/>
              </w:rPr>
            </w:pPr>
          </w:p>
        </w:tc>
      </w:tr>
      <w:tr>
        <w:trPr>
          <w:trHeight w:val="432"/>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6,143</w:t>
            </w:r>
          </w:p>
        </w:tc>
        <w:tc>
          <w:tcPr>
            <w:tcW w:w="140" w:type="dxa"/>
            <w:vAlign w:val="bottom"/>
          </w:tcPr>
          <w:p>
            <w:pPr>
              <w:spacing w:after="0"/>
              <w:rPr>
                <w:sz w:val="24"/>
                <w:szCs w:val="24"/>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6,143</w:t>
            </w:r>
          </w:p>
        </w:tc>
        <w:tc>
          <w:tcPr>
            <w:tcW w:w="40" w:type="dxa"/>
            <w:vAlign w:val="bottom"/>
          </w:tcPr>
          <w:p>
            <w:pPr>
              <w:spacing w:after="0"/>
              <w:rPr>
                <w:sz w:val="24"/>
                <w:szCs w:val="24"/>
                <w:color w:val="auto"/>
              </w:rPr>
            </w:pPr>
          </w:p>
        </w:tc>
      </w:tr>
      <w:tr>
        <w:trPr>
          <w:trHeight w:val="432"/>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288,684</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4"/>
                <w:szCs w:val="24"/>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4"/>
                <w:szCs w:val="24"/>
                <w:color w:val="auto"/>
              </w:rPr>
            </w:pPr>
          </w:p>
        </w:tc>
      </w:tr>
      <w:tr>
        <w:trPr>
          <w:trHeight w:val="414"/>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14,116,595</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12,117</w:t>
            </w:r>
          </w:p>
        </w:tc>
        <w:tc>
          <w:tcPr>
            <w:tcW w:w="40" w:type="dxa"/>
            <w:vAlign w:val="bottom"/>
          </w:tcPr>
          <w:p>
            <w:pPr>
              <w:spacing w:after="0"/>
              <w:rPr>
                <w:sz w:val="24"/>
                <w:szCs w:val="24"/>
                <w:color w:val="auto"/>
              </w:rPr>
            </w:pPr>
          </w:p>
        </w:tc>
      </w:tr>
      <w:tr>
        <w:trPr>
          <w:trHeight w:val="216"/>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227,647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8"/>
                <w:szCs w:val="18"/>
                <w:color w:val="auto"/>
              </w:rPr>
            </w:pPr>
          </w:p>
        </w:tc>
      </w:tr>
      <w:tr>
        <w:trPr>
          <w:trHeight w:val="216"/>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r>
      <w:tr>
        <w:trPr>
          <w:trHeight w:val="248"/>
        </w:trPr>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(30,708)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(30,708)</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37,943,891</w:t>
            </w: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17,702</w:t>
            </w:r>
          </w:p>
        </w:tc>
        <w:tc>
          <w:tcPr>
            <w:tcW w:w="4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-3222625</wp:posOffset>
            </wp:positionV>
            <wp:extent cx="7132320" cy="3206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60" w:space="280"/>
            <w:col w:w="5860"/>
          </w:cols>
          <w:pgMar w:left="320" w:top="684" w:right="379" w:bottom="1440" w:gutter="0" w:footer="0" w:header="0"/>
          <w:type w:val="continuous"/>
        </w:sectPr>
      </w:pPr>
    </w:p>
    <w:p>
      <w:pPr>
        <w:ind w:left="520" w:hanging="512"/>
        <w:spacing w:after="0"/>
        <w:tabs>
          <w:tab w:leader="none" w:pos="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costs in the amount of approximately $39.</w:t>
      </w:r>
    </w:p>
    <w:p>
      <w:pPr>
        <w:spacing w:after="0" w:line="27" w:lineRule="exact"/>
        <w:rPr>
          <w:sz w:val="20"/>
          <w:szCs w:val="20"/>
          <w:color w:val="auto"/>
        </w:rPr>
      </w:pPr>
    </w:p>
    <w:p>
      <w:pPr>
        <w:ind w:right="260" w:firstLine="8"/>
        <w:spacing w:after="0" w:line="260" w:lineRule="auto"/>
        <w:tabs>
          <w:tab w:leader="none" w:pos="51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1,902,742 Pre-funded Warrants which were exercised to 1,902,742 ordinary shares during February and March 2024 (see Note 9B(7)). (***) Issuance costs in the amount of approximately $252.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1960" w:type="dxa"/>
            <w:vAlign w:val="bottom"/>
            <w:tcBorders>
              <w:bottom w:val="single" w:sz="8" w:color="CCEEFF"/>
            </w:tcBorders>
            <w:gridSpan w:val="3"/>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280" w:type="dxa"/>
            <w:vAlign w:val="bottom"/>
          </w:tcPr>
          <w:p>
            <w:pPr>
              <w:jc w:val="right"/>
              <w:ind w:right="111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(30,708)</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(10,475)</w:t>
            </w:r>
          </w:p>
        </w:tc>
        <w:tc>
          <w:tcPr>
            <w:tcW w:w="0" w:type="dxa"/>
            <w:vAlign w:val="bottom"/>
          </w:tcPr>
          <w:p>
            <w:pPr>
              <w:spacing w:after="0"/>
              <w:rPr>
                <w:sz w:val="1"/>
                <w:szCs w:val="1"/>
                <w:color w:val="auto"/>
              </w:rPr>
            </w:pPr>
          </w:p>
        </w:tc>
      </w:tr>
      <w:tr>
        <w:trPr>
          <w:trHeight w:val="175"/>
        </w:trPr>
        <w:tc>
          <w:tcPr>
            <w:tcW w:w="4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loss to net cash used in operating</w:t>
            </w: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auto"/>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Exchange rate changes on cash and cash equivalents</w:t>
            </w:r>
          </w:p>
        </w:tc>
        <w:tc>
          <w:tcPr>
            <w:tcW w:w="1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derivatives and warrants liabilities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20,181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Amortization of a discount related to a convertible loan credit</w:t>
            </w: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facility</w:t>
            </w:r>
          </w:p>
        </w:tc>
        <w:tc>
          <w:tcPr>
            <w:tcW w:w="12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1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4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Increase in inventory</w:t>
            </w:r>
          </w:p>
        </w:tc>
        <w:tc>
          <w:tcPr>
            <w:tcW w:w="1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liability, net.</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Increase (decrease) in trade accounts payable</w:t>
            </w:r>
          </w:p>
        </w:tc>
        <w:tc>
          <w:tcPr>
            <w:tcW w:w="1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47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accounts payable</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(9,682)</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fixed assets</w:t>
            </w:r>
          </w:p>
        </w:tc>
        <w:tc>
          <w:tcPr>
            <w:tcW w:w="1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A shares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Proceeds from a convertible debt</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47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a convertible loan credit facility and issuance</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warrants</w:t>
            </w:r>
          </w:p>
        </w:tc>
        <w:tc>
          <w:tcPr>
            <w:tcW w:w="1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Payments on convertible loan credit facility</w:t>
            </w:r>
          </w:p>
        </w:tc>
        <w:tc>
          <w:tcPr>
            <w:tcW w:w="1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net of issuance expenses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9,687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47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warrants, net of issuance</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13,731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13,643</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23,918</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16,653</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40" w:type="dxa"/>
            <w:vAlign w:val="bottom"/>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40" w:type="dxa"/>
            <w:vAlign w:val="bottom"/>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Increase  (decrease)  in  cash,  cash  equivalents  and</w:t>
            </w: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14,179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6,643</w:t>
            </w:r>
          </w:p>
        </w:tc>
        <w:tc>
          <w:tcPr>
            <w:tcW w:w="0" w:type="dxa"/>
            <w:vAlign w:val="bottom"/>
          </w:tcPr>
          <w:p>
            <w:pPr>
              <w:spacing w:after="0"/>
              <w:rPr>
                <w:sz w:val="1"/>
                <w:szCs w:val="1"/>
                <w:color w:val="auto"/>
              </w:rPr>
            </w:pPr>
          </w:p>
        </w:tc>
      </w:tr>
      <w:tr>
        <w:trPr>
          <w:trHeight w:val="194"/>
        </w:trPr>
        <w:tc>
          <w:tcPr>
            <w:tcW w:w="47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the</w:t>
            </w: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beginning of the period</w:t>
            </w:r>
          </w:p>
        </w:tc>
        <w:tc>
          <w:tcPr>
            <w:tcW w:w="12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10"/>
        </w:trPr>
        <w:tc>
          <w:tcPr>
            <w:tcW w:w="7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w:t>
            </w: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128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17,468</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8,492</w:t>
            </w:r>
          </w:p>
        </w:tc>
        <w:tc>
          <w:tcPr>
            <w:tcW w:w="0" w:type="dxa"/>
            <w:vAlign w:val="bottom"/>
          </w:tcPr>
          <w:p>
            <w:pPr>
              <w:spacing w:after="0"/>
              <w:rPr>
                <w:sz w:val="1"/>
                <w:szCs w:val="1"/>
                <w:color w:val="auto"/>
              </w:rPr>
            </w:pPr>
          </w:p>
        </w:tc>
      </w:tr>
      <w:tr>
        <w:trPr>
          <w:trHeight w:val="20"/>
        </w:trPr>
        <w:tc>
          <w:tcPr>
            <w:tcW w:w="47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40" w:type="dxa"/>
            <w:vAlign w:val="bottom"/>
            <w:gridSpan w:val="7"/>
            <w:vMerge w:val="continue"/>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a convertible loan credit facility to ordinary</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Issuance expenses recorded in other accounts payables</w:t>
            </w:r>
          </w:p>
        </w:tc>
        <w:tc>
          <w:tcPr>
            <w:tcW w:w="1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shares</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11,965</w:t>
            </w:r>
          </w:p>
        </w:tc>
        <w:tc>
          <w:tcPr>
            <w:tcW w:w="0" w:type="dxa"/>
            <w:vAlign w:val="bottom"/>
          </w:tcPr>
          <w:p>
            <w:pPr>
              <w:spacing w:after="0"/>
              <w:rPr>
                <w:sz w:val="1"/>
                <w:szCs w:val="1"/>
                <w:color w:val="auto"/>
              </w:rPr>
            </w:pPr>
          </w:p>
        </w:tc>
      </w:tr>
      <w:tr>
        <w:trPr>
          <w:trHeight w:val="216"/>
        </w:trPr>
        <w:tc>
          <w:tcPr>
            <w:tcW w:w="4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Conversion of a convertible debt</w:t>
            </w:r>
          </w:p>
        </w:tc>
        <w:tc>
          <w:tcPr>
            <w:tcW w:w="1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47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of deferred expenses against additional paid in</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w:t>
            </w:r>
          </w:p>
        </w:tc>
        <w:tc>
          <w:tcPr>
            <w:tcW w:w="1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ectPr>
          <w:pgSz w:w="11900" w:h="16838" w:orient="portrait"/>
          <w:cols w:equalWidth="0" w:num="1">
            <w:col w:w="11240"/>
          </w:cols>
          <w:pgMar w:left="320" w:top="684" w:right="339" w:bottom="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Reporting Entity:</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Rail Vision Ltd. (the “Company”) was incorporated and registered in Israel on April 18, 2016. The Company is an early commercialization stage technology Company that is engaged in the design, development and assembly of railway detection systems designed to solve the challenges in railway operational safety, efficiency and predictive maintenance. The Company’s railway detection systems include different types of cameras, including optics, visible light spectrum cameras (video) and thermal cameras that transmit data to a ruggedized on-board computer which is designed to be suitable for the rough environment of a train’s locomotive.</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ordinary shares and warrants began trading on the Nasdaq Capital Market (“Nasdaq”) on March 31, 2022, under the symbols “RVSN” and “RVSNW,” respectively (see Note 9B(3) below).</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The Company has incurred significant losses since the date of its inception and anticipates that it will continue to incur significant losses until it will be able to successfully commercialize its products. Failure to obtain this necessary capital when needed may force the Company to delay, limit or terminate its product development efforts or other operations. In addition, the Company is subject to risks including, among other things, competition associated with the industry in general, risks associated with financing, liquidity requirements, rapidly changing customer requirements, the loss of key personnel and the effect of planned expansion of operations on the future results of the Company.</w:t>
      </w:r>
    </w:p>
    <w:p>
      <w:pPr>
        <w:spacing w:after="0" w:line="18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To date, the Company has not generated significant revenues from its activities and has incurred substantial operating losses. Management expects the Company to continue to generate substantial operating losses and to continue to fund its operations primarily through the utilization of its current financial resources, sales of its products, and through additional raises of capital.</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described in notes 9B (6),(7) and (8), during the year ended December 31, 2024 and subsequent to the balance sheet date, the Company raised a total amount (gross) of approximately $34 million from issuance of shares and warrants and exercise of warrants, and according to the current monthly burn rate, the management anticipates that its cash and cash equivalents as of the issuance date of the financial statements and the future expected cash flow from sales will be sufficient for more than 12 months of operations.</w:t>
      </w:r>
    </w:p>
    <w:p>
      <w:pPr>
        <w:spacing w:after="0" w:line="176"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bonus shares and reverse split: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13, 2022, the Company effected a bonus shares issuances under Israeli law to reflect the effect of 44-for-1 forward share split of the Company’s ordinary shares. Accordingly, (i) for each one share of outstanding ordinary shares, 43 additional ordinary shares were issued and distributed to the holder thereof; (ii) the number of ordinary shares issuable upon the exercise of each outstanding convertible preferred shares, warrant and option was proportionately increased by 43 additional ordinary shares; (iii) the exercise price of each outstanding option to purchase ordinary shares was proportionately adjusted; (iv) the authorized number of ordinary shares was increased in order to reflect such issuance of bonus shares; and (v) the par value of ordinary shares was not adjusted as result of this issuance of bonus shares.</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15, 2023, the Company effected a one-for-eight (1-for-8) reverse stock split of its ordinary share (the “Reverse Split”). As a result of the Reverse Split, every eight (8) shares of ordinary share either issued and outstanding were combined into one new share of ordinary share. All outstanding securities entitling their holders to purchase ordinary shares, including options and warrants were adjusted as a result of the Reverse Split, as required by the terms of those securities. The Reverse Split changed the par value of the ordinary share from NIS 0.01 to NIS 0.08. the Reverse Split did not change the number of shares authorized for issuance. See also note 9A(2) below.</w:t>
      </w:r>
    </w:p>
    <w:p>
      <w:pPr>
        <w:spacing w:after="0" w:line="183"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 amounts, share prices, and exercise prices have been adjusted retroactively within these financial statements to reflect the issuance of the bonus shares and the Reverse Split.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United Sates of America (“US GAAP”).</w:t>
      </w:r>
    </w:p>
    <w:p>
      <w:pPr>
        <w:spacing w:after="0" w:line="18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Company’s management believes that the estimates, judgments and assumptions used are reasonable based upon information available at the time they are made. These estimates, judgments and assumptions can affect reported amounts and disclosures made. Actual results could differ from those estimates.</w:t>
      </w:r>
    </w:p>
    <w:p>
      <w:pPr>
        <w:spacing w:after="0" w:line="20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in U.S. dollars:</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is the U.S. dollar (“dollar” or “$”) since the dollar is the currency of the primary economic environment in which the Company has operated and expects to continue to operate in the foreseeable future.</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8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are short-term highly liquid investments that are readily convertible to cash with maturities of three months or less as of the date acquired, readily convertible to known amounts of cash and subject to an insignificant risk. Restricted cash consists of deposits pledged to a bank that provided guarantee in connection with an operating lease.</w:t>
      </w:r>
    </w:p>
    <w:p>
      <w:pPr>
        <w:spacing w:after="0" w:line="19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values of cash and cash equivalents, restricted cash, accounts receivable, trade accounts payable, accrued expenses and employees and related expenses recorded in other accounts payable, approximate their fair value due to the short-term maturity of these instruments.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820, “Fair Value Measurements and Disclosures,”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The Company also considers assumptions that market participants would use when pricing the asset or liability, such as, inherent risk, transfer restrictions and risk of nonperformance. Hierarchical levels are directly related to the amount of subjectivity with the inputs to the valuation of these assets or liabilities as follows:</w:t>
      </w:r>
    </w:p>
    <w:p>
      <w:pPr>
        <w:spacing w:after="0" w:line="18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values of cash and cash equivalents, restricted cash, accounts receivable, trade accounts payable, accrued expenses and employees and related expenses recorded in other accounts payable, approximate their fair value due to the short-term maturity of these instruments.</w:t>
      </w:r>
    </w:p>
    <w:p>
      <w:pPr>
        <w:spacing w:after="0" w:line="175" w:lineRule="exact"/>
        <w:rPr>
          <w:rFonts w:ascii="Times New Roman" w:cs="Times New Roman" w:eastAsia="Times New Roman" w:hAnsi="Times New Roman"/>
          <w:sz w:val="18"/>
          <w:szCs w:val="18"/>
          <w:b w:val="1"/>
          <w:bCs w:val="1"/>
          <w:color w:val="auto"/>
        </w:rPr>
      </w:pPr>
    </w:p>
    <w:p>
      <w:pPr>
        <w:jc w:val="both"/>
        <w:ind w:left="9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warrants liability was classified within Level 3 of the fair value hierarchy because of the volatility input incorporated in the Company’s Black-Scholes model at inception and on subsequent valuation dates involves unobservable inputs. The warrant liability was classified to equity on June 29, 2024. As of December 31, 2024 and 2023, no liabilities were classified within level 3 of the fair value hierarchy.</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warrants liabilities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the derivatives and warrants in accordance with ASC 815 “Derivatives and Hedging - Contracts in Entity’s Own Equity” (“ASC 815”) to determine whether warrants should be classified as liabilities or shareholders’ equity. In case that a provision in the warrant agreement related to certain tender or exchange offers precludes the warrants from being accounted for as components of equity, the Company will be classify as liability. This assessment, which requires the use of professional judgment, is conducted at the time of warrant issuance and as of each subsequent period end date while the warrants are outstanding. As the warrants meet the definition of a derivative as contemplated in ASC 815, the warrants are recorded as derivative liabilities on the balance sheet and measured at fair value at inception and at each reporting date thereafter in accordance with ASC 820 “Fair Value Measurement” (“ASC 820”), with changes in fair value recognized in the condensed statements of comprehensive loss in the period of change.</w:t>
      </w:r>
    </w:p>
    <w:p>
      <w:pPr>
        <w:spacing w:after="0" w:line="19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ASC 815-40, contracts that are not indexed to the Company’s own equity are classified as liabilities recorded at fair value, As such, the Company classifies the SEPA Agreement entered into (see Note 9B(8)) as a derivative instrument measured at fair value at each reporting period, as settlement provisions under this agreement are not indexed to the Company’s own equity.</w:t>
      </w:r>
    </w:p>
    <w:p>
      <w:pPr>
        <w:spacing w:after="0" w:line="19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or market, with cost determined by the first-in, first-out method (FIFO) of inventory accounting. The Company capitalizes, material, labor, subcontractor and overhead costs as work-in-process for contracts where control has not yet passed to the customer. The valuation of the inventories requires to make estimates regarding excess or obsolete inventories, including making estimates of the future demand for products to be sold. Although the Company make every effort to ensure the accuracy of forecasts of future product demand, any significant unanticipated changes in demand, price, or technological developments could have a significant impact on the value of the inventory and reported operating results. Charges for excess and obsolete inventories are included within cost of revenue.</w:t>
      </w:r>
    </w:p>
    <w:p>
      <w:pPr>
        <w:spacing w:after="0" w:line="21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are stated at cost, less accumulated depreciation. Depreciation is calculated by the straight-line method over the estimated useful lives of the assets. The annual depreciation rates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58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6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7-15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electronic equipment</w:t>
            </w:r>
          </w:p>
        </w:tc>
        <w:tc>
          <w:tcPr>
            <w:tcW w:w="558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580" w:type="dxa"/>
            <w:vAlign w:val="bottom"/>
            <w:gridSpan w:val="2"/>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6"/>
              </w:rPr>
              <w:t>7-15</w:t>
            </w: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198"/>
        </w:trPr>
        <w:tc>
          <w:tcPr>
            <w:tcW w:w="9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6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Over the shorter of the lease term (including</w:t>
            </w:r>
          </w:p>
        </w:tc>
        <w:tc>
          <w:tcPr>
            <w:tcW w:w="72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6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option) or useful life</w:t>
            </w:r>
          </w:p>
        </w:tc>
        <w:tc>
          <w:tcPr>
            <w:tcW w:w="72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F-10</w:t>
            </w: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their fair value. During 2023 and 2022, no impairment losses were recognized.</w:t>
      </w:r>
    </w:p>
    <w:p>
      <w:pPr>
        <w:spacing w:after="0" w:line="20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post-employment benefit: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Israeli employment laws, employees of the Company are covered under Section 14 of the Severance Compensation Act, 1963 (“Section 14”) for a portion of their salaries. According to Section 14, these employees are entitled to receive monthly deposits (payments) made by the Company on their behalf with insurance companies.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Payments in accordance with Section 14 release the Company from any future severance payments (under the Israeli Severance Compensation Act, 1963) with respect of those employees. The obligation to make the monthly deposits is expensed as incurred. In addition, the aforementioned deposits are not recorded as an asset in the Company’s balance sheet, and there is no liability recorded as the Company does not have a future obligation to make any additional payments.</w:t>
      </w:r>
    </w:p>
    <w:p>
      <w:pPr>
        <w:spacing w:after="0" w:line="20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606 “Revenue from contracts with customers” (“ASC 606”). Under ASC 606, revenue is measured as the amount of consideration the Company expects to be entitled to, in exchange for transferring products or providing services to its customers and is recognized when or as performance obligations under the terms of contracts with the Company’s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The Company determine the transaction price based on the amount of consideration the Company expects to be entitled to from a customer in exchange for the promised goods or services. As a practical expedient, the Company does not assess the existence of a significant financing component when the difference between payment and transfer of deliverables is a year or less, which is the case in the majority of the Company’s customer contracts. The Company then allocates the transaction price to each performance obligation and recognizes the associated revenue when (or as) each performance obligation is satisfied.</w:t>
      </w:r>
    </w:p>
    <w:p>
      <w:pPr>
        <w:spacing w:after="0" w:line="17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from products sales are recognized upon the transfer of control, which is generally upon shipment, delivery or installation. Revenues from services are recognized over time over the service period.</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revenue represents amounts received by the Company for which the related revenues have not been recognized because one or more of the revenue recognition criteria have not been met.</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current portion of deferred revenue represents the amount to be recognized within one year from the balance sheet date based on the estimated performance period of the underlying performance obligation, see Note 6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granted to employees and directors including share options granted under the Company’s incentive share option plan based on estimated fair values</w:t>
      </w:r>
      <w:r>
        <w:rPr>
          <w:rFonts w:ascii="Times New Roman" w:cs="Times New Roman" w:eastAsia="Times New Roman" w:hAnsi="Times New Roman"/>
          <w:sz w:val="18"/>
          <w:szCs w:val="18"/>
          <w:b w:val="1"/>
          <w:bCs w:val="1"/>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718-10 requires companies to estimate the fair value of share-based payment awards on the date of grant. The portion of the grant-date fair value of the share-based payment award that is ultimately expected to vest is recognized as an expense over the requisite service periods in the Company’s statements of comprehensive loss.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estimates the fair value of share options granted as share-based payment awards using a Black-Scholes option pricing model. The Black-Scholes option pricing model requires a number of assumptions, of which the most significant are share price, expected volatility and the expected option term (the time from the grant date until the options are exercised or expire). Expected volatility is estimated based on volatility of similar companies in the technology sector. The expected option term is calculated for options granted to employees and directors using the “simplified” method, and grants to non-employees are based on the contractual term. The Company has historically not paid dividends and has no foreseeable plans to pay dividends. The risk-free interest rate is based on the yield from Israel Treasury zero-coupon bonds with an equivalent term. Changes in the determination of each of the inputs can affect the fair value of the share options granted and the results of operations of the Company.</w:t>
      </w:r>
    </w:p>
    <w:p>
      <w:pPr>
        <w:spacing w:after="0" w:line="191"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grants of restricted stock units (“RSUs”) vest upon completion of a specified period of time, typically between one and three years. The fair value of each award is equal to the share price of the Company’s stock on the date of the grant. This cost is recognized over the vesting period of the respective award. The Company records forfeitures of RSUs related to continued service requirements as they occur.</w:t>
      </w:r>
    </w:p>
    <w:p>
      <w:pPr>
        <w:spacing w:after="0" w:line="20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office space and vehicles under operating leases.</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 of use (“ROU”) assets and operating lease liabilities in the Company’s balance sheets. ROU assets represent the Company’s right to use an underlying asset for the lease term and lease liabilities represent the Company’s obligation to make lease payments arising from the lease. Operating lease ROU assets and liabilities were recognized based on the present value of the remaining lease payments over the lease term. The Company’s incremental borrowing rate is used in determining the present value of lease payments because rate implicit in the Company’s leases is not readily determinable. The expected lease terms include options to extend or terminate the lease when it is reasonably certain that such options will be exercised. Operating lease expense is recognized on a straight-line basis over the lease term, variable payments are expensed in the periods incurred.</w:t>
      </w:r>
    </w:p>
    <w:p>
      <w:pPr>
        <w:spacing w:after="0" w:line="188"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made an accounting policy election not to recognize ROU assets and lease liabilities that arise from leases with initial terms of 12 months or less. Instead, the Company continues to record such lease expenses on a straight-line basis over the lease term in the statements of comprehensive loss.</w:t>
      </w:r>
    </w:p>
    <w:p>
      <w:pPr>
        <w:spacing w:after="0" w:line="19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are charged to the statements of comprehensive loss as incurred.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a standard warranty on all systems sold. The Company recognizes a warranty provision for the products sold based on the present value of future cash flows estimated to be required to settle the warranty obligation. The future cash flows have been estimated by reference to the Company’s history of warranty claims.</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the standard warranty does not provide an incremental service to customers but is rather an assurance on the quality of system, and therefore is not a separate performance obligation.</w:t>
      </w:r>
    </w:p>
    <w:p>
      <w:pPr>
        <w:spacing w:after="0" w:line="16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Warranty expenses are recorded as a component of cost of revenues in the Statements of Comprehensive Loss.</w:t>
      </w:r>
    </w:p>
    <w:p>
      <w:pPr>
        <w:spacing w:after="0" w:line="24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ordinary share: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ordinary share is computed by dividing the net loss by the weighted average number of ordinary shares outstanding during the year. Diluted loss per share is computed by dividing the net loss by the weighted average number of ordinary shares outstanding plus the number of additional ordinary shares that would have been outstanding if all potentially dilutive ordinary shares had been issued, using the treasury stock method. Potentially dilutive ordinary shares were excluded from the diluted loss per share calculation because they were anti-dilutive.</w:t>
      </w:r>
    </w:p>
    <w:p>
      <w:pPr>
        <w:spacing w:after="0" w:line="20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Adopted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to improve reportable segment disclosure requirements through enhanced disclosures about significant segment expenses on an interim and annual basis. All disclosure requirements of ASU 2023-07 are also required for entities with a single reportable segment. ASU 2023-07 is effective starting January 1, 2024, and should be applied on a retrospective basis to all periods presented. The adoption of this ASU did not have a material impact on the Company’s financial statements (see also Note 18).</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(“ASU 2023-09”).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annual periods beginning after December 15, 2024. Early adoption is permitted, and the amendments should be applied on a prospective basis. The Company is currently evaluating the effect of adopting the ASU on its related disclosures.</w:t>
      </w:r>
    </w:p>
    <w:p>
      <w:pPr>
        <w:spacing w:after="0" w:line="21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 not yet effective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the disaggregation of certain expenses in the financial statements notes, to provide enhanced transparency into the expense captions presented on the face of the consolidated statement of operations. ASU 2024-03 is effective for annual reporting periods beginning January 1, 2027, and interim periods beginning January 1, 2028 and may be applied either prospectively or retrospectively. The Company is currently evaluating the impact that ASU 2024-03 will have on its related disclosures, and the transition method.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Inventories consist of the following as of December 31, 2024 and 2023:</w:t>
      </w:r>
    </w:p>
    <w:p>
      <w:pPr>
        <w:spacing w:after="0" w:line="23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OTHER CURRENT ASSETS</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w w:val="99"/>
              </w:rPr>
              <w:t>Other current assets consist of the following as of December 31, 2024 and 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3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 at the Chamber of Commerce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 of revenues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FIXED ASSETS, NET</w:t>
            </w: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Fixed assets, net consist of the following as of December 31, 2024 and 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48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3"/>
          </w:tcPr>
          <w:p>
            <w:pPr>
              <w:spacing w:after="0"/>
              <w:rPr>
                <w:sz w:val="18"/>
                <w:szCs w:val="18"/>
                <w:color w:val="auto"/>
              </w:rPr>
            </w:pPr>
          </w:p>
        </w:tc>
        <w:tc>
          <w:tcPr>
            <w:tcW w:w="1160" w:type="dxa"/>
            <w:vAlign w:val="bottom"/>
            <w:tcBorders>
              <w:top w:val="single" w:sz="8" w:color="CCEEFF"/>
            </w:tcBorders>
            <w:gridSpan w:val="3"/>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3"/>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8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tcPr>
          <w:p>
            <w:pPr>
              <w:spacing w:after="0"/>
              <w:rPr>
                <w:sz w:val="13"/>
                <w:szCs w:val="13"/>
                <w:color w:val="auto"/>
              </w:rPr>
            </w:pPr>
          </w:p>
        </w:tc>
        <w:tc>
          <w:tcPr>
            <w:tcW w:w="48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751</w:t>
            </w: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2024, 2023 and 2022 were $148, $171 and $150, respectively.</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ACCOUNTS PAYABLE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Other accounts payable consist of the following as of December 31, 2024 and 2023:</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210"/>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related expenses</w:t>
            </w:r>
          </w:p>
        </w:tc>
        <w:tc>
          <w:tcPr>
            <w:tcW w:w="21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5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See also note 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 LIABILITIES</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Collaboration Agreement Israel Railways Ltd. (“Israel Railways”):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August 2016, the Company and Israel Railways entered into an agreement for cooperation between the parties, which was further amended on January 19, 2020, and on July 1, 2021 (the “Railway Agreement”). Under the Railway Agreement, the Company undertook to fulfill certain functions for the development, marketing, distribution and sale of the systems, and Israel Railways undertook to provide the Company with services and the means to perform tests and experiments, mainly in the form of logistics and manpower, and to provide the Company with information on certain data that will be provided at the discretion of Israel Railways.</w:t>
      </w:r>
    </w:p>
    <w:p>
      <w:pPr>
        <w:spacing w:after="0" w:line="183"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In accordance to the Railway Agreement and upon the completion of the initial public offering on April 4, 2022 (the “IPO”) (see Note 9B(3)) the Company paid to Israeli Railways a consideration of 1.5% of the actual IPO proceeds, which was approximately $213 and its right for payment of royalties has expired, according to the Railway Agreement provisions.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Railway Agreement further provided that Israel Railways was entitled to purchase the Company’s products and services at a price equal to half the lowest price charged by the Company for those products and services to an unrelated third party.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addition, as part of the Railway Agreement and in consideration for services provided to the Company by Israel Railways, the Company granted Israel Railways an option to purchase 24,431 of the Company’s ordinary shares at their par value (see also Note 9B(4)).</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Railway Agreement was terminated and canceled by the parties under a commercial agreement signed on January 31, 2023.</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8 - CONVERTIBLE PREFERRED SHARES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Issuance of Preferred A Shares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13, 2020, the Company and Knorr-Bremse Systeme für Schienenfahrzeuge GmbH, an affiliate of Knorr-Bremse AG (“Knorr-Bremse”) entered into an investment agreement under which the Company issued 51,282 Preferred A shares to Knorr-Bremse, in exchange for a total investment of $10,000. As of December 31, 2021, the net proceeds, after deducting closing costs and fees, amounted to $9,965.</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On March 6, 2022, the Company partially exercised its option in the amount of $2,000 and as a result issued to Knorr-Bremse, a total of additional 10,256 Preferred A shares at a price of $195 per share.</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Immediately prior to the completion of the IPO on April 4, 2022 (see Note 9B(3)), 61,538 Preferred A shares were automatically converted into 338,459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w:t>
      </w:r>
    </w:p>
    <w:p>
      <w:pPr>
        <w:spacing w:after="0" w:line="225" w:lineRule="exact"/>
        <w:rPr>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rights of ordinary shares are as follows:</w:t>
      </w:r>
    </w:p>
    <w:p>
      <w:pPr>
        <w:spacing w:after="0" w:line="229" w:lineRule="exact"/>
        <w:rPr>
          <w:rFonts w:ascii="Times New Roman" w:cs="Times New Roman" w:eastAsia="Times New Roman" w:hAnsi="Times New Roman"/>
          <w:sz w:val="18"/>
          <w:szCs w:val="18"/>
          <w:b w:val="1"/>
          <w:bCs w:val="1"/>
          <w:color w:val="auto"/>
        </w:rPr>
      </w:pPr>
    </w:p>
    <w:p>
      <w:pPr>
        <w:jc w:val="both"/>
        <w:ind w:left="1620" w:hanging="316"/>
        <w:spacing w:after="0" w:line="266"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2024, the Company convened an extraordinary general meeting of shareholders (the “Meeting”). At the Meeting, the shareholders of the Company approved (i) the cancelation of the par value of the Company’s registered and issued ordinary shares; (ii) an increase of the Company’s registered share capital from 12,500,000 ordinary shares to 100,000,000 ordinary shares; and (iii) to amend the Company’s Amended and Restated Articles of Association accordingly.</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ordinary shares and warrants:</w:t>
      </w:r>
    </w:p>
    <w:p>
      <w:pPr>
        <w:spacing w:after="0" w:line="229" w:lineRule="exact"/>
        <w:rPr>
          <w:rFonts w:ascii="Times New Roman" w:cs="Times New Roman" w:eastAsia="Times New Roman" w:hAnsi="Times New Roman"/>
          <w:sz w:val="18"/>
          <w:szCs w:val="18"/>
          <w:b w:val="1"/>
          <w:bCs w:val="1"/>
          <w:color w:val="auto"/>
        </w:rPr>
      </w:pPr>
    </w:p>
    <w:p>
      <w:pPr>
        <w:ind w:left="1620" w:hanging="316"/>
        <w:spacing w:after="0" w:line="282"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2022, options to purchase 209 ordinary shares were exercised by former Company employees resulting in proceeds of $10.</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the Company entered into a Simple Agreement for Future Equity (“SAFE”) with its two main shareholders, as of that date, providing for financing in the aggregate amount of $1,000 (the “Investment Amount”), which was subsequently amended in March 2022.</w:t>
      </w:r>
    </w:p>
    <w:p>
      <w:pPr>
        <w:spacing w:after="0" w:line="175"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 provided for the conversion of the Investment Amount into the Company’s ordinary shares under certain circumstances including in particular in the case of an IPO such that immediately prior to the closing of an IPO the Investment Amount shall automatically convert into the number of shares and warrants equal to the Investment Amount divided by the initial public offering price. The warrants which shall be issued shall have the same terms as the warrants to be issued in the IPO except such warrants shall not be registered under the Securities Act of 1933, as amended, and shall not be tradeable.</w:t>
      </w:r>
    </w:p>
    <w:p>
      <w:pPr>
        <w:spacing w:after="0" w:line="183"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completion of the IPO on April 4, 2022 (see Note 9B(3) below) the Investment Amount was automatically converted to 30,266 ordinary shares and 30,266 warrants to purchase ordinary shares, with an exercise price of $33.04 per share, immediately exercisable and will expire five years from the date of issuance. These warrants are being accounted for as equity instruments in accordance with the guidance contained in ASC 815-40.</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2022, the Company completed its IPO, in which the Company issued 473,405 units. Each unit included one ordinary share and one warrant to purchase one ordinary share at an exercise price of $33.04 per ordinary share. The warrants are exercisable at any time up to five years after the IPO. These warrants are being accounted for as equity instruments in accordance with the guidance contained in ASC 815-40.</w:t>
      </w:r>
    </w:p>
    <w:p>
      <w:pPr>
        <w:spacing w:after="0" w:line="179"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for the offering were approximately $15,647 (including exercise of over-allotment options as described below) and net proceeds of approximately $13,587 after deducting underwriting discounts and commissions and offering expenses.</w:t>
      </w:r>
    </w:p>
    <w:p>
      <w:pPr>
        <w:spacing w:after="0" w:line="161"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Aegis Capital Corp, the underwriter (“Aegis”), a 45-day over-allotment option to purchase additional ordinary shares and/or warrants to purchase additional ordinary shares up to 15% of the number of ordinary shares and warrants, respectively, sold in the IPO solely to cover over-allotments, if any. On April 4, 2022, Aegis exercised its over-allotment option with respect to 71,011 warrants to purchase ordinary shares.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7, the Company granted Israel Railways warrants to purchase 24,431 of its ordinary shares with a nominal exercise price of NIS 0.01 (approximately $0.003) per share. On January 25, 2023, Israel Railways exercised the warrants in full, and accordingly the Company issued 24,431 ordinary shares to Israel Railways.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Ordinary shares and warrants (Cont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620" w:hanging="316"/>
        <w:spacing w:after="0" w:line="282" w:lineRule="auto"/>
        <w:tabs>
          <w:tab w:leader="none" w:pos="1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executed a series of transactions raising aggregate gross proceeds of $6,000 (approximately $5,397after deducting issuance costs), as follows:</w:t>
      </w:r>
    </w:p>
    <w:p>
      <w:pPr>
        <w:spacing w:after="0" w:line="161"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2023 the Company completed the closing of definitive agreements with investors (i) in a registered direct offering, for the purchase and sale of 493,421 ordinary shares and (ii) in a concurrent private placement to the same investors, for the issuance of 493,424 warrants, each to purchase one ordinary share at an exercise price of $6.72 per share. The private placement warrants are exercisable upon issuance and have a 5-year term from the initial exercise date. These warrants are being accounted for as equity instruments in accordance with the guidance contained in ASC 815-40. The aggregate gross proceeds to the Company of the registered direct offering and concurrent private placement were approximately $3,000.</w:t>
      </w:r>
    </w:p>
    <w:p>
      <w:pPr>
        <w:spacing w:after="0" w:line="187"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concurrent private placement, the Company issued an aggregate of 493,421 ordinary shares and 493,421 five-year warrants exercisable at $6.72 per share to Knorr-Bremse. The Knorr-Bremse private placement was subject to the approval by the Company’s shareholders, and the shareholders approved the transaction on June 18, 2023. The aggregate gross proceeds from this placement were approximately $3,000.</w:t>
      </w:r>
    </w:p>
    <w:p>
      <w:pPr>
        <w:spacing w:after="0" w:line="179" w:lineRule="exact"/>
        <w:rPr>
          <w:rFonts w:ascii="Times New Roman" w:cs="Times New Roman" w:eastAsia="Times New Roman" w:hAnsi="Times New Roman"/>
          <w:sz w:val="18"/>
          <w:szCs w:val="18"/>
          <w:color w:val="auto"/>
        </w:rPr>
      </w:pPr>
    </w:p>
    <w:p>
      <w:pPr>
        <w:ind w:left="16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transactions, the purchase price of one unit was $6.08. Each unit included one ordinary share and one 5-year warrant to purchase one ordinary share.</w:t>
      </w:r>
    </w:p>
    <w:p>
      <w:pPr>
        <w:spacing w:after="0" w:line="161"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investors from the private placement from May 2023 exercised 493,424 warrants to purchase ordinary shares on a cashless basis. As a result of the cashless exercises, the Company issued 181,002 ordinary shares to such investors.</w:t>
      </w:r>
    </w:p>
    <w:p>
      <w:pPr>
        <w:spacing w:after="0" w:line="15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of Credit Facility Agreement and Issuance of Facility Warrant</w:t>
      </w:r>
    </w:p>
    <w:p>
      <w:pPr>
        <w:spacing w:after="0" w:line="229"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2024, the Company entered into the Facility Agreement for a $6,000 credit facility (the “Credit Facility”) and an additional amount up to $3,000, subject to certain conditions with a global investment firm (the “Lender”).</w:t>
      </w:r>
    </w:p>
    <w:p>
      <w:pPr>
        <w:spacing w:after="0" w:line="161"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which had an initial term of 10 months, accrued interest at a rate of 8% per annum. The first payment of $1,500 was drawn down upon execution of the Facility Agreement and the remaining amount was able to be drawn down in eight equal installments as of March 7, 2024. As detailed below, the Facility Agreement terminated on March 1, 2024.</w:t>
      </w:r>
    </w:p>
    <w:p>
      <w:pPr>
        <w:spacing w:after="0" w:line="175" w:lineRule="exact"/>
        <w:rPr>
          <w:rFonts w:ascii="Times New Roman" w:cs="Times New Roman" w:eastAsia="Times New Roman" w:hAnsi="Times New Roman"/>
          <w:sz w:val="18"/>
          <w:szCs w:val="18"/>
          <w:color w:val="auto"/>
        </w:rPr>
      </w:pPr>
    </w:p>
    <w:p>
      <w:pPr>
        <w:jc w:val="both"/>
        <w:ind w:left="1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entered into an alternate credit facility on more favorable terms, the Lender’s funding obligations under the Credit Facility were to decrease with respect to the amount actually received by the Company under such alternate credit facility. The Lender’s financing obligations were to terminate in the event the Company drew down $7,500 or more pursuant to an alternate credit facility or closed one or more equity financing transaction in an aggregate amount of at least $5,000 (including the conversion of the Credit Facility as mentioned below). As of March 1, 2024, in connection with the January 2024 PIPE (as defined in note 9B(7)), the Company received aggregate gross proceeds of more than $5,000 from the purchase of Units and exercise of warrants (see Note 9B(7) below), and accordingly, the Lender’s financing obligations terminated.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Ordinary shares and warrants (Cont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of Credit Facility Agreement and Issuance of Facility Warrant (Cont.)</w:t>
      </w:r>
    </w:p>
    <w:p>
      <w:pPr>
        <w:spacing w:after="0" w:line="229"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Company closed one or more equity financing transactions in an aggregate amount of at least $5,000, it had the right to convert an amount of up to $1,500 out of the outstanding loan (including accrued interest) into ordinary shares of the Company, in connection with and in the framework of a financing transaction of the Company on the date that followed the date upon which the Company notified the Lender of such financing transaction, which conversion was to occur upon the same terms. In connection with the January 2024 PIPE (as defined in note 9B(7)), the Company converted $500 of the outstanding loan and issued to the Lender the Facility Conversion Pre-Funded Warrant and the Facility Conversion Common Warrant (see Note 9B(7) below).</w:t>
      </w:r>
    </w:p>
    <w:p>
      <w:pPr>
        <w:spacing w:after="0" w:line="187"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loan, together with accrued interest, was required to be repaid at a rate of 30% of the gross proceeds of any equity financing transactions consummated by the Company during the term of the Credit Facility, which met a minimum threshold aggregate amount (initially, $5,000 and increasing by an additional $500 for each month during the term) until the loan is repaid in full. The repayment of the Credit Facility was required to be made on the last day of each calendar month during which the sources for repayment specified above were actually received by the Company. The loan was permitted be prepaid early without any penalty.</w:t>
      </w:r>
    </w:p>
    <w:p>
      <w:pPr>
        <w:spacing w:after="0" w:line="183"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Facility Agreement, the Company issued a warrant (the “Facility Warrant”) to the Lender to purchase 2,419,354 ordinary shares of the Company representing an aggregate exercise amount of $7,500, with a per share exercise price of $3.10, subject to certain adjustments and certain anti-dilution protection. The Facility Warrant was exercisable upon issuance and has a term of 5 years from the date of issuance.</w:t>
      </w:r>
    </w:p>
    <w:p>
      <w:pPr>
        <w:spacing w:after="0" w:line="179"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Warrants were classified on the issuance date to warrant liabilities, as they were not considered indexed to the Company’s own equity. The fair value of the Facility Warrants at issuance date was $1,229 and the remaining amount of $271 was allocated to the convertible loan credit facility. On March 1, 2024, the date of termination of the Credit Facility (as detailed above), the discount amount of $1,229 was fully amortized. As a result the Company recorded an amount of $1,229 in “Other financing income (expenses), net”.</w:t>
      </w:r>
    </w:p>
    <w:p>
      <w:pPr>
        <w:spacing w:after="0" w:line="183"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2024 PIPE, as defined and detailed in Note 9B(7) below, triggered an anti-dilution protection and accordingly the exercise price of the Facility Warrant was adjusted to $0.408 and the amount of ordinary shares issuable upon the exercise of the Facility Warrant was adjusted to 18,382,353 shares.</w:t>
      </w:r>
    </w:p>
    <w:p>
      <w:pPr>
        <w:spacing w:after="0" w:line="175"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11,220,000 Facility Warrants have been exercised resulting in gross proceeds of approximately $4,578 to the Company.</w:t>
      </w:r>
    </w:p>
    <w:p>
      <w:pPr>
        <w:spacing w:after="0" w:line="161"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Warrant agreement included certain adjustment provisions with respect to a share split, reverse share split, share dividend, share combination recapitalization or other similar transaction involving the Company ordinary shares that expired on June 29, 2024. The Company reassessed the Facility Warrants’ current terms and concluded that they were no longer classified as a liability and that they are considered indexed to the Company’s own equity. As a result, the Company classified its warrant liabilities to additional paid in capital in the amount of $6,143.</w:t>
      </w:r>
    </w:p>
    <w:p>
      <w:pPr>
        <w:spacing w:after="0" w:line="183" w:lineRule="exact"/>
        <w:rPr>
          <w:sz w:val="20"/>
          <w:szCs w:val="20"/>
          <w:color w:val="auto"/>
        </w:rPr>
      </w:pPr>
    </w:p>
    <w:p>
      <w:pPr>
        <w:ind w:left="1620" w:right="20"/>
        <w:spacing w:after="0" w:line="282" w:lineRule="auto"/>
        <w:rPr>
          <w:sz w:val="20"/>
          <w:szCs w:val="20"/>
          <w:color w:val="auto"/>
        </w:rPr>
      </w:pPr>
      <w:r>
        <w:rPr>
          <w:rFonts w:ascii="Times New Roman" w:cs="Times New Roman" w:eastAsia="Times New Roman" w:hAnsi="Times New Roman"/>
          <w:sz w:val="18"/>
          <w:szCs w:val="18"/>
          <w:color w:val="auto"/>
        </w:rPr>
        <w:t>Subsequent to December 31, 2024, additional 5,950,000 Facility Warrants have been exercised resulting in additional gross proceeds of approximately $2,428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Ordinary shares and warrants (Cont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January 2024 private placement (“PIPE”)</w:t>
      </w:r>
    </w:p>
    <w:p>
      <w:pPr>
        <w:spacing w:after="0" w:line="229"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18, 2024, the Company entered into a binding term sheet directly with a global investment firm (the “Lead Investor”) for the purchase and sale in a private placement (the “January 2024 PIPE”) of units (the “Units”) to the Lead Investor and other investors (collectively, the “Investors”). Each Unit consists of (i) one ordinary share of the Company and (ii) one and a half warrants to purchase ordinary shares of the Company of a minimum of $2,500 of Units and up to a maximum of $3,000 of Units. The January 2024 PIPE closed on January 31, 2024 following the execution of definitive documentation between the Company and the Investors.</w:t>
      </w:r>
    </w:p>
    <w:p>
      <w:pPr>
        <w:spacing w:after="0" w:line="183" w:lineRule="exact"/>
        <w:rPr>
          <w:rFonts w:ascii="Times New Roman" w:cs="Times New Roman" w:eastAsia="Times New Roman" w:hAnsi="Times New Roman"/>
          <w:sz w:val="18"/>
          <w:szCs w:val="18"/>
          <w:color w:val="auto"/>
        </w:rPr>
      </w:pPr>
    </w:p>
    <w:p>
      <w:pPr>
        <w:jc w:val="both"/>
        <w:ind w:left="16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2024, the Company entered into the definitive securities purchase agreement with the Investors for the issue of 3,046,457 Units consisting of (A) (i) 1,651,458 of the Company’s ordinary shares, and/or (ii) pre-funded warrants (the “PIPE Pre-Funded Warrants”) to purchase up to 1,394,999 ordinary shares and (B) common warrants (the “PIPE Common Warrants”) to purchase up to 4,569,688 ordinary shares. The purchase price per Unit is $0.98475. The aggregate gross proceeds from the January 2024 PIPE were $3,000. $2,961 net of issuance costs.</w:t>
      </w:r>
    </w:p>
    <w:p>
      <w:pPr>
        <w:spacing w:after="0" w:line="183"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Pre-Funded Warrants were immediately exercisable at an exercise price of $0.0001 per ordinary share, subject to certain adjustments and certain anti-dilution protection set forth therein and will not expire until exercised in full. The PIPE Common Warrants were exercisable upon issuance at an exercise price of $0.98475 per ordinary share, subject to certain adjustments and certain anti-dilution protection set forth therein and had a 5.5-year term from the issuance date.</w:t>
      </w:r>
    </w:p>
    <w:p>
      <w:pPr>
        <w:spacing w:after="0" w:line="179" w:lineRule="exact"/>
        <w:rPr>
          <w:rFonts w:ascii="Times New Roman" w:cs="Times New Roman" w:eastAsia="Times New Roman" w:hAnsi="Times New Roman"/>
          <w:sz w:val="18"/>
          <w:szCs w:val="18"/>
          <w:color w:val="auto"/>
        </w:rPr>
      </w:pPr>
    </w:p>
    <w:p>
      <w:pPr>
        <w:jc w:val="both"/>
        <w:ind w:left="1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January 2024 PIPE, the Company exercised its conversion right pursuant to the Credit Facility to convert $500 of the outstanding convertible loan credit facility that was extended to the Company by the Lender of the Credit Facility. Following such conversion, the Company issued to the Lender 507,743 Units consisting of (i) a pre-funded warrant (the “Facility Conversion Pre-Funded Warrant”) to purchase up to 507,743 ordinary shares and (ii) a common warrant (the “Facility Conversion Common Warrant”) to purchase up to 761,615 ordinary shares. The Facility Conversion Pre-Funded Warrant and the Facility Conversion Common Warrant are in substantially the same form and on substantially the same terms as the PIPE Pre-Funded Warrant and PIPE Common Warrant, respectively.</w:t>
      </w:r>
    </w:p>
    <w:p>
      <w:pPr>
        <w:spacing w:after="0" w:line="188"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Common Warrants and the Facility Conversion Common Warrant were classified on the issuance date to warrant liabilities, as they were not considered indexed to the Company’s own equity.</w:t>
      </w:r>
    </w:p>
    <w:p>
      <w:pPr>
        <w:spacing w:after="0" w:line="161"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all of the January 2024 PIPE Pre-Funded Warrants, the Facility Conversion Pre-Funded Warrants, the Facility Conversion Common Warrants and the January 2024 PIPE Common Warrants have been exercised in full, resulting in gross proceeds of approximately $5,250 to the Company ($5,063 net of issuance costs).</w:t>
      </w:r>
    </w:p>
    <w:p>
      <w:pPr>
        <w:spacing w:after="0" w:line="17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Standby Equity Purchase Agreement (“SEPA”)</w:t>
      </w:r>
    </w:p>
    <w:p>
      <w:pPr>
        <w:spacing w:after="0" w:line="229" w:lineRule="exact"/>
        <w:rPr>
          <w:rFonts w:ascii="Times New Roman" w:cs="Times New Roman" w:eastAsia="Times New Roman" w:hAnsi="Times New Roman"/>
          <w:sz w:val="18"/>
          <w:szCs w:val="18"/>
          <w:color w:val="auto"/>
        </w:rPr>
      </w:pPr>
    </w:p>
    <w:p>
      <w:pPr>
        <w:ind w:left="16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2024, the Company entered into a Standby Equity Purchase Agreement (“SEPA”), with YA II PN, LTD., a Cayman Islands exempt limited partnership (“Yorkville.”)</w:t>
      </w:r>
    </w:p>
    <w:p>
      <w:pPr>
        <w:spacing w:after="0" w:line="161"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SEPA the Company has the right, but not the obligation, to sell to Yorkville from time to time, (each such occurrence, an “Advance”), up to $20.0 million (the “Commitment Amount”), of its ordinary shares during the 36 months following the execution of the SEPA, subject to the restrictions and satisfaction of the conditions in SEPA. At the Company’s option, the ordinary shares would be purchased by Yorkville from time to time at a price equal to 97% of the lowest of the three daily VWAPs (as hereinafter defined) during a three consecutive trading day period commencing on the date that the Company, subject to certain limitations, deliver a notice to Yorkville that it is committing Yorkville to purchase such ordinary shares, (the “Advance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620" w:hanging="316"/>
        <w:spacing w:after="0"/>
        <w:tabs>
          <w:tab w:leader="none" w:pos="1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Standby Equity Purchase Agreement (“SEPA”) (Cont.)</w:t>
      </w:r>
    </w:p>
    <w:p>
      <w:pPr>
        <w:spacing w:after="0" w:line="229"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also specify a certain minimum acceptable price (“MAP”) per share in each Advance. For the purposes of the SEPA, “VWAP” means, for any trading day, the daily volume weighted average price of the Company’s ordinary shares for such trading day. As consideration for Yorkville’s irrevocable commitment to purchase the Company’s ordinary shares up to the Commitment Amount, the Company issued 288,684 ordinary shares, (the “Commitment Shares”), to Yorkville and also paid structuring fee to an affiliate of Yorkville. The Commitment Shares and the structuring fee were recorded as expenses in “Other financing income (expenses), net”, in the amounts of $152 and $10, respectively.</w:t>
      </w:r>
    </w:p>
    <w:p>
      <w:pPr>
        <w:spacing w:after="0" w:line="187" w:lineRule="exact"/>
        <w:rPr>
          <w:rFonts w:ascii="Times New Roman" w:cs="Times New Roman" w:eastAsia="Times New Roman" w:hAnsi="Times New Roman"/>
          <w:sz w:val="18"/>
          <w:szCs w:val="18"/>
          <w:color w:val="auto"/>
        </w:rPr>
      </w:pPr>
    </w:p>
    <w:p>
      <w:pPr>
        <w:jc w:val="both"/>
        <w:ind w:left="1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SEPA, Yorkville shall not be obligated to purchase or acquire any ordinary shares under the SEPA which, when aggregated with all other ordinary shares beneficially owned by Yorkville and its affiliates, would result in the beneficial ownership of Yorkville and its affiliates (on an aggregated basis) to exceed 4.99% of the then outstanding voting power or number of the Company’s ordinary shares.</w:t>
      </w:r>
    </w:p>
    <w:p>
      <w:pPr>
        <w:spacing w:after="0" w:line="179" w:lineRule="exact"/>
        <w:rPr>
          <w:rFonts w:ascii="Times New Roman" w:cs="Times New Roman" w:eastAsia="Times New Roman" w:hAnsi="Times New Roman"/>
          <w:sz w:val="18"/>
          <w:szCs w:val="18"/>
          <w:color w:val="auto"/>
        </w:rPr>
      </w:pPr>
    </w:p>
    <w:p>
      <w:pPr>
        <w:jc w:val="both"/>
        <w:ind w:left="1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evaluated the contract that includes the right to require Yorkville to purchase ordinary shares in the future (“put right”) considering the guidance in ASC 815-40, “Derivatives and Hedging — Contracts on an Entity’s Own Equity” and concluded that it is an equity-linked contract that does not qualify for equity classification, and therefore requires fair value accounting, and thus meets the definition of a derivative liability. Accordingly, the put right will be measured at fair value at each reporting period, and changes in its fair value will be recognized in the statement of comprehensive loss. The put right is measured under level 2 of the Fair Value hierarchy. The Company analyzed the terms of the freestanding put right and concluded that it has an immaterial value as of December 31, 2024.</w:t>
      </w:r>
    </w:p>
    <w:p>
      <w:pPr>
        <w:spacing w:after="0" w:line="188"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issued an aggregate of 14,116,595 ordinary shares to Yorkville as Advance Shares (not including the Commitment Shares) for aggregate gross proceeds of approximately $10,771. An amount of $1,346 was recorded as expenses in “Revaluation of derivatives and warrants liabilities” regarding this issuance of ordinary shares.</w:t>
      </w:r>
    </w:p>
    <w:p>
      <w:pPr>
        <w:spacing w:after="0" w:line="175"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December 31, 2024 , an additional 8,094,297 ordinary shares have been issued to Yorkville resulting in additional gross proceeds of approximately $7,537 to the Company.</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left="1620"/>
        <w:spacing w:after="0" w:line="266" w:lineRule="auto"/>
        <w:rPr>
          <w:sz w:val="20"/>
          <w:szCs w:val="20"/>
          <w:color w:val="auto"/>
        </w:rPr>
      </w:pPr>
      <w:r>
        <w:rPr>
          <w:rFonts w:ascii="Times New Roman" w:cs="Times New Roman" w:eastAsia="Times New Roman" w:hAnsi="Times New Roman"/>
          <w:sz w:val="18"/>
          <w:szCs w:val="18"/>
          <w:color w:val="auto"/>
        </w:rPr>
        <w:t>In January 2017, the Board authorized an incentive share option plan which was last amended on March 28, 2024 (“2017 Plan”). The 2017 Plan provides for the grant of incentive share options and RSUs to employees and service providers of the Company. Awards may be granted under the 2017 Plan until January 31, 2027.</w:t>
      </w:r>
    </w:p>
    <w:p>
      <w:pPr>
        <w:spacing w:after="0" w:line="176" w:lineRule="exact"/>
        <w:rPr>
          <w:sz w:val="20"/>
          <w:szCs w:val="20"/>
          <w:color w:val="auto"/>
        </w:rPr>
      </w:pPr>
    </w:p>
    <w:p>
      <w:pPr>
        <w:jc w:val="both"/>
        <w:ind w:left="1620" w:right="20"/>
        <w:spacing w:after="0" w:line="282" w:lineRule="auto"/>
        <w:rPr>
          <w:sz w:val="20"/>
          <w:szCs w:val="20"/>
          <w:color w:val="auto"/>
        </w:rPr>
      </w:pPr>
      <w:r>
        <w:rPr>
          <w:rFonts w:ascii="Times New Roman" w:cs="Times New Roman" w:eastAsia="Times New Roman" w:hAnsi="Times New Roman"/>
          <w:sz w:val="18"/>
          <w:szCs w:val="18"/>
          <w:color w:val="auto"/>
        </w:rPr>
        <w:t>According to the 2017 Plan, the aggregate number of ordinary shares that may be issued pursuant to awards will not exceed 4,288,745 ordinary shares.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Shares and options to service providers:</w:t>
      </w:r>
    </w:p>
    <w:p>
      <w:pPr>
        <w:spacing w:after="0" w:line="229" w:lineRule="exact"/>
        <w:rPr>
          <w:sz w:val="20"/>
          <w:szCs w:val="20"/>
          <w:color w:val="auto"/>
        </w:rPr>
      </w:pPr>
    </w:p>
    <w:p>
      <w:pPr>
        <w:jc w:val="both"/>
        <w:ind w:left="1620"/>
        <w:spacing w:after="0" w:line="266" w:lineRule="auto"/>
        <w:rPr>
          <w:sz w:val="20"/>
          <w:szCs w:val="20"/>
          <w:color w:val="auto"/>
        </w:rPr>
      </w:pPr>
      <w:r>
        <w:rPr>
          <w:rFonts w:ascii="Times New Roman" w:cs="Times New Roman" w:eastAsia="Times New Roman" w:hAnsi="Times New Roman"/>
          <w:sz w:val="18"/>
          <w:szCs w:val="18"/>
          <w:color w:val="auto"/>
        </w:rPr>
        <w:t>The fair value for the options to service providers was estimated on their grant date determined using a Black-Scholes option pricing model, with the following weighted-average assumptions: weighted average volatility of 70%, risk free interest rates of 1.4%, dividend yields of 0% and a weighted average life of the options of up to 5 years.</w:t>
      </w:r>
    </w:p>
    <w:p>
      <w:pPr>
        <w:spacing w:after="0" w:line="176" w:lineRule="exact"/>
        <w:rPr>
          <w:sz w:val="20"/>
          <w:szCs w:val="20"/>
          <w:color w:val="auto"/>
        </w:rPr>
      </w:pPr>
    </w:p>
    <w:p>
      <w:pPr>
        <w:jc w:val="both"/>
        <w:ind w:left="2280" w:hanging="652"/>
        <w:spacing w:after="0" w:line="266" w:lineRule="auto"/>
        <w:tabs>
          <w:tab w:leader="none" w:pos="2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2021, the Company granted options to a consultant for the purchase of 3,135 of the Company’s ordinary shares at an exercise price of $49.12 per share. The Consultant will be eligible to exercise the options upon completion of milestones, as defined in the consultant agreement, for a period of 24 months from the date of their grant.</w:t>
      </w:r>
    </w:p>
    <w:p>
      <w:pPr>
        <w:spacing w:after="0" w:line="391" w:lineRule="exact"/>
        <w:rPr>
          <w:rFonts w:ascii="Times New Roman" w:cs="Times New Roman" w:eastAsia="Times New Roman" w:hAnsi="Times New Roman"/>
          <w:sz w:val="18"/>
          <w:szCs w:val="18"/>
          <w:color w:val="auto"/>
        </w:rPr>
      </w:pPr>
    </w:p>
    <w:p>
      <w:pPr>
        <w:jc w:val="both"/>
        <w:ind w:left="2280" w:hanging="652"/>
        <w:spacing w:after="0" w:line="266" w:lineRule="auto"/>
        <w:tabs>
          <w:tab w:leader="none" w:pos="2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2023 the Company granted to a service provider 3 years term options, to purchase a total of 6,252 ordinary shares. 1,563 options at an exercise price of $12.00, 1,563 options at an exercise price of $14.00, 1,563 options at an exercise price of $20.00, and 1,563 options at an exercise price of $24.00.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(RSUs) and Options to employees</w:t>
      </w:r>
    </w:p>
    <w:p>
      <w:pPr>
        <w:spacing w:after="0" w:line="229" w:lineRule="exact"/>
        <w:rPr>
          <w:rFonts w:ascii="Times New Roman" w:cs="Times New Roman" w:eastAsia="Times New Roman" w:hAnsi="Times New Roman"/>
          <w:sz w:val="18"/>
          <w:szCs w:val="18"/>
          <w:b w:val="1"/>
          <w:bCs w:val="1"/>
          <w:color w:val="auto"/>
        </w:rPr>
      </w:pPr>
    </w:p>
    <w:p>
      <w:pPr>
        <w:jc w:val="both"/>
        <w:ind w:left="2280" w:hanging="652"/>
        <w:spacing w:after="0" w:line="261" w:lineRule="auto"/>
        <w:tabs>
          <w:tab w:leader="none" w:pos="22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options to employees and directors through December 31, 2023. For options granted during 2023 and 2022, the fair value of options was estimated using the Black-Scholes option pricing model, which was based on the following assumptions: share price $2.4 - $8.8 weighted average volatility of 65% - 68%, risk free interest rates of 1.83%-3.66%, dividend yields of 0% and expected life of the options of up to 6 years.</w:t>
      </w:r>
    </w:p>
    <w:p>
      <w:pPr>
        <w:spacing w:after="0" w:line="206"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option activity for options to employees, officers and directors:</w:t>
      </w:r>
    </w:p>
    <w:p>
      <w:pPr>
        <w:spacing w:after="0" w:line="22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20" w:type="dxa"/>
            <w:vAlign w:val="bottom"/>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7"/>
        </w:trPr>
        <w:tc>
          <w:tcPr>
            <w:tcW w:w="2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220" w:type="dxa"/>
            <w:vAlign w:val="bottom"/>
          </w:tcPr>
          <w:p>
            <w:pPr>
              <w:spacing w:after="0"/>
              <w:rPr>
                <w:sz w:val="18"/>
                <w:szCs w:val="18"/>
                <w:color w:val="auto"/>
              </w:rPr>
            </w:pPr>
          </w:p>
        </w:tc>
        <w:tc>
          <w:tcPr>
            <w:tcW w:w="9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9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9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2220" w:type="dxa"/>
            <w:vAlign w:val="bottom"/>
          </w:tcPr>
          <w:p>
            <w:pPr>
              <w:spacing w:after="0"/>
              <w:rPr>
                <w:sz w:val="18"/>
                <w:szCs w:val="18"/>
                <w:color w:val="auto"/>
              </w:rPr>
            </w:pPr>
          </w:p>
        </w:tc>
        <w:tc>
          <w:tcPr>
            <w:tcW w:w="9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9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9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of</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38"/>
        </w:trPr>
        <w:tc>
          <w:tcPr>
            <w:tcW w:w="2220" w:type="dxa"/>
            <w:vAlign w:val="bottom"/>
          </w:tcPr>
          <w:p>
            <w:pPr>
              <w:spacing w:after="0"/>
              <w:rPr>
                <w:sz w:val="20"/>
                <w:szCs w:val="20"/>
                <w:color w:val="auto"/>
              </w:rPr>
            </w:pPr>
          </w:p>
        </w:tc>
        <w:tc>
          <w:tcPr>
            <w:tcW w:w="9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9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9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w:t>
            </w:r>
          </w:p>
        </w:tc>
      </w:tr>
      <w:tr>
        <w:trPr>
          <w:trHeight w:val="223"/>
        </w:trPr>
        <w:tc>
          <w:tcPr>
            <w:tcW w:w="22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78"/>
        </w:trPr>
        <w:tc>
          <w:tcPr>
            <w:tcW w:w="22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Outstanding as of beginning</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period</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296,709</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6.16</w:t>
            </w: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237,612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158,109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68,739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132,361</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49.12</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(115,784</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(52,649</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2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260" w:lineRule="auto"/>
        <w:rPr>
          <w:sz w:val="20"/>
          <w:szCs w:val="20"/>
          <w:color w:val="auto"/>
        </w:rPr>
      </w:pPr>
      <w:r>
        <w:rPr>
          <w:rFonts w:ascii="Times New Roman" w:cs="Times New Roman" w:eastAsia="Times New Roman" w:hAnsi="Times New Roman"/>
          <w:sz w:val="18"/>
          <w:szCs w:val="18"/>
          <w:color w:val="auto"/>
        </w:rPr>
        <w:t>Outstanding as of end of period</w:t>
      </w:r>
    </w:p>
    <w:p>
      <w:pPr>
        <w:spacing w:after="0" w:line="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Exercisable as of end of period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180,925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296,709</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16.32</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237,612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137,139</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157,394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100,633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-316230</wp:posOffset>
            </wp:positionV>
            <wp:extent cx="7132320" cy="300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780" w:space="440"/>
            <w:col w:w="9020"/>
          </w:cols>
          <w:pgMar w:left="320" w:top="684"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 Regarding repricing during 2022, see Note 9E(4)(g) below.</w:t>
      </w:r>
    </w:p>
    <w:p>
      <w:pPr>
        <w:spacing w:after="0" w:line="333" w:lineRule="exact"/>
        <w:rPr>
          <w:sz w:val="20"/>
          <w:szCs w:val="20"/>
          <w:color w:val="auto"/>
        </w:rPr>
      </w:pPr>
    </w:p>
    <w:p>
      <w:pPr>
        <w:ind w:left="162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2024 and 2023 was $0.53 and $0.13 and per share, respectively.</w:t>
      </w:r>
    </w:p>
    <w:p>
      <w:pPr>
        <w:spacing w:after="0" w:line="162" w:lineRule="exact"/>
        <w:rPr>
          <w:sz w:val="20"/>
          <w:szCs w:val="20"/>
          <w:color w:val="auto"/>
        </w:rPr>
      </w:pPr>
    </w:p>
    <w:p>
      <w:pPr>
        <w:ind w:left="1620"/>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share-based payment expenses related to nonvested awards was $68, which is expected to be recognized over the next 2.25 years.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A summary of the Company’s RSUs activity is as follows:</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2"/>
        </w:trPr>
        <w:tc>
          <w:tcPr>
            <w:tcW w:w="3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0"/>
        </w:trPr>
        <w:tc>
          <w:tcPr>
            <w:tcW w:w="340" w:type="dxa"/>
            <w:vAlign w:val="bottom"/>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3,006,000</w:t>
            </w:r>
          </w:p>
        </w:tc>
      </w:tr>
      <w:tr>
        <w:trPr>
          <w:trHeight w:val="216"/>
        </w:trPr>
        <w:tc>
          <w:tcPr>
            <w:tcW w:w="34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(227,647)</w:t>
            </w:r>
          </w:p>
        </w:tc>
      </w:tr>
      <w:tr>
        <w:trPr>
          <w:trHeight w:val="229"/>
        </w:trPr>
        <w:tc>
          <w:tcPr>
            <w:tcW w:w="3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(149,000)</w:t>
            </w:r>
          </w:p>
        </w:tc>
      </w:tr>
      <w:tr>
        <w:trPr>
          <w:trHeight w:val="223"/>
        </w:trPr>
        <w:tc>
          <w:tcPr>
            <w:tcW w:w="340" w:type="dxa"/>
            <w:vAlign w:val="bottom"/>
          </w:tcPr>
          <w:p>
            <w:pPr>
              <w:spacing w:after="0"/>
              <w:rPr>
                <w:sz w:val="19"/>
                <w:szCs w:val="19"/>
                <w:color w:val="auto"/>
              </w:rPr>
            </w:pPr>
          </w:p>
        </w:tc>
        <w:tc>
          <w:tcPr>
            <w:tcW w:w="6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ending of year</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2,629,353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weighted average fair values at grant date of RSUs for the years ended December 31, 2024 was $0.53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(RSUs) and Options to employees (Cont.)</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and RSUs granted:</w:t>
      </w:r>
    </w:p>
    <w:p>
      <w:pPr>
        <w:spacing w:after="0" w:line="229" w:lineRule="exact"/>
        <w:rPr>
          <w:rFonts w:ascii="Times New Roman" w:cs="Times New Roman" w:eastAsia="Times New Roman" w:hAnsi="Times New Roman"/>
          <w:sz w:val="18"/>
          <w:szCs w:val="18"/>
          <w:b w:val="1"/>
          <w:bCs w:val="1"/>
          <w:color w:val="auto"/>
        </w:rPr>
      </w:pPr>
    </w:p>
    <w:p>
      <w:pPr>
        <w:jc w:val="both"/>
        <w:ind w:left="1960" w:hanging="332"/>
        <w:spacing w:after="0" w:line="258" w:lineRule="auto"/>
        <w:tabs>
          <w:tab w:leader="none" w:pos="19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2020, the Company granted options to purchase 83,922 ordinary shares to its employees at an exercise price of $49.11 per share (see also subsection (g) below). These options expire 10 years after their grant date and vest over three years in nine tranches. One-third of the options vested on September 18, 2020, and the remainder vest in eight equal quarterly tranches over a period of two years thereafter. For the year ended December 31, 2022, the Company recorded an expense of $163, No expenses have been recorded for the years ended December 31, 2024 and 2023, in respect for such grant.</w:t>
      </w:r>
    </w:p>
    <w:p>
      <w:pPr>
        <w:spacing w:after="0" w:line="183" w:lineRule="exact"/>
        <w:rPr>
          <w:rFonts w:ascii="Times New Roman" w:cs="Times New Roman" w:eastAsia="Times New Roman" w:hAnsi="Times New Roman"/>
          <w:sz w:val="18"/>
          <w:szCs w:val="18"/>
          <w:color w:val="auto"/>
        </w:rPr>
      </w:pPr>
    </w:p>
    <w:p>
      <w:pPr>
        <w:jc w:val="both"/>
        <w:ind w:left="1960" w:hanging="332"/>
        <w:spacing w:after="0" w:line="253" w:lineRule="auto"/>
        <w:tabs>
          <w:tab w:leader="none" w:pos="19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granted to its former chairman of the Board options to purchase 69,603 ordinary shares are exercisable at an exercise price of $49.11 per share (see also subsection (g) below). The options vest as follows: (1) options to purchase 17,401 ordinary shares vested in one tranche at the end of 12 months from October 13, 2020; and (2) options to purchase 34,801 ordinary shares will vest in the event that the Company generate a cumulative order backlog (as defined in the option agreement) in the amount of not less than $7,000 by the end of 18 months from October 13, 2020; (3) options to purchase 17,401 ordinary shares will vest in the event that the Company reaches a cumulative order backlog of $15,000 by the end of 24 months from October 13, 2020 (including the first cumulative order backlog); and all subject to him serving as the active Chairman of the Company’s Board at the time of vesting and were subject to an acceleration of 25% of his unvested options (i.e., 17,401) in the event that the Company effectuates an IPO. Accordingly, upon the completion of the IPO on April 4, 2022 (see Note 9B(3)), 17,401 were accelerated and considered fully vested.</w:t>
      </w:r>
    </w:p>
    <w:p>
      <w:pPr>
        <w:spacing w:after="0" w:line="194" w:lineRule="exact"/>
        <w:rPr>
          <w:rFonts w:ascii="Times New Roman" w:cs="Times New Roman" w:eastAsia="Times New Roman" w:hAnsi="Times New Roman"/>
          <w:sz w:val="18"/>
          <w:szCs w:val="18"/>
          <w:color w:val="auto"/>
        </w:rPr>
      </w:pPr>
    </w:p>
    <w:p>
      <w:pPr>
        <w:ind w:left="19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Company recorded an expense of $133. No expenses have been recorded for the years ended December 31, 2024, and 2023, in respect for such grants.</w:t>
      </w:r>
    </w:p>
    <w:p>
      <w:pPr>
        <w:spacing w:after="0" w:line="161"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and October 2022, a total of 34,801 of the former chairman’s options had expired as the periods of 18 and 24 months had passed, and the Company did not reach the required cumulative order backlogs, as detailed above.</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56" w:lineRule="auto"/>
        <w:tabs>
          <w:tab w:leader="none" w:pos="19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granted to its CEO options to purchase 7,700 ordinary shares at an exercise price of $49.11 per share (see also subsection (g) below) vest as follows: (1) options to purchase 3,850 ordinary shares will vest on the condition that the Company generates, no later than October 12, 2022, a cumulative order backlog (as defined in the option agreement) in an amount not less than $10,000; and (2) options to purchase the remaining 3,850 ordinary shares will vest on the condition that the Company generates, no later than October 12, 2024 a cumulative order backlog (as defined above) in an amount not less than $20,000 (including the first cumulative order backlog); and all subject to him serving in his position at the time of vesting.</w:t>
      </w:r>
    </w:p>
    <w:p>
      <w:pPr>
        <w:spacing w:after="0" w:line="187" w:lineRule="exact"/>
        <w:rPr>
          <w:sz w:val="20"/>
          <w:szCs w:val="20"/>
          <w:color w:val="auto"/>
        </w:rPr>
      </w:pPr>
    </w:p>
    <w:p>
      <w:pPr>
        <w:ind w:left="2160"/>
        <w:spacing w:after="0" w:line="282" w:lineRule="auto"/>
        <w:rPr>
          <w:sz w:val="20"/>
          <w:szCs w:val="20"/>
          <w:color w:val="auto"/>
        </w:rPr>
      </w:pPr>
      <w:r>
        <w:rPr>
          <w:rFonts w:ascii="Times New Roman" w:cs="Times New Roman" w:eastAsia="Times New Roman" w:hAnsi="Times New Roman"/>
          <w:sz w:val="18"/>
          <w:szCs w:val="18"/>
          <w:color w:val="auto"/>
        </w:rPr>
        <w:t>In October 2022 and October 2024, the total of 7,700 CEO’s options under this grant had expired as the periods of 24 and 48 months had passed, and the Company did not reach the required cumulative order backlog, as detailed above.</w:t>
      </w:r>
    </w:p>
    <w:p>
      <w:pPr>
        <w:spacing w:after="0" w:line="162" w:lineRule="exact"/>
        <w:rPr>
          <w:sz w:val="20"/>
          <w:szCs w:val="20"/>
          <w:color w:val="auto"/>
        </w:rPr>
      </w:pPr>
    </w:p>
    <w:p>
      <w:pPr>
        <w:ind w:left="21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recorded an income of $67 and for the years ended December 31, 2023 and 2022, the Company recorded an expense of $22 and $20, respectively, in respect for such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(RSUs) and Options to employees (Cont.)</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and RSUs granted (Cont.):</w:t>
      </w:r>
    </w:p>
    <w:p>
      <w:pPr>
        <w:spacing w:after="0" w:line="229" w:lineRule="exact"/>
        <w:rPr>
          <w:rFonts w:ascii="Times New Roman" w:cs="Times New Roman" w:eastAsia="Times New Roman" w:hAnsi="Times New Roman"/>
          <w:sz w:val="18"/>
          <w:szCs w:val="18"/>
          <w:b w:val="1"/>
          <w:bCs w:val="1"/>
          <w:color w:val="auto"/>
        </w:rPr>
      </w:pPr>
    </w:p>
    <w:p>
      <w:pPr>
        <w:jc w:val="both"/>
        <w:ind w:left="1960" w:hanging="332"/>
        <w:spacing w:after="0" w:line="258" w:lineRule="auto"/>
        <w:tabs>
          <w:tab w:leader="none" w:pos="19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2020, the Company granted options to purchase 13,475 ordinary shares to its employees at an exercise price of $49.11 per share (see also subsection (g) below). These options expire 10 years after their grant date and vest over three years in nine tranches. One-third of the options vested on November 3, 2021, and the remainder vest in eight equal quarterly tranches over a period of two years thereafter. For the years ended December 31, 2023 and 2022, the Company recorded an expense of $45 and $46, respectively, no expenses recorded in 2024 in respect for such grant.</w:t>
      </w:r>
    </w:p>
    <w:p>
      <w:pPr>
        <w:spacing w:after="0" w:line="183" w:lineRule="exact"/>
        <w:rPr>
          <w:rFonts w:ascii="Times New Roman" w:cs="Times New Roman" w:eastAsia="Times New Roman" w:hAnsi="Times New Roman"/>
          <w:sz w:val="18"/>
          <w:szCs w:val="18"/>
          <w:color w:val="auto"/>
        </w:rPr>
      </w:pPr>
    </w:p>
    <w:p>
      <w:pPr>
        <w:jc w:val="both"/>
        <w:ind w:left="1960" w:hanging="332"/>
        <w:spacing w:after="0" w:line="256" w:lineRule="auto"/>
        <w:tabs>
          <w:tab w:leader="none" w:pos="19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2022, the Company granted to three officers options to purchase 68,395 ordinary shares including 19,510 to its CEO, at an exercise price of $14.80 per share (equal to the average closing share price on the Nasdaq over the first 30 calendar days following the IPO on April 4, 2022). These options expire 10 years after their grant date and vest over three years in nine tranches. One-third of the options vested on May 11, 2023 and the remainder vest in eight equal quarterly tranches over a period of two years thereafter. For the years ended December 31, 2024, 2023 and 2022, The Company recorded an expense of $49, $96 and $61 respectively, in respect for such grant.</w:t>
      </w:r>
    </w:p>
    <w:p>
      <w:pPr>
        <w:spacing w:after="0" w:line="187" w:lineRule="exact"/>
        <w:rPr>
          <w:rFonts w:ascii="Times New Roman" w:cs="Times New Roman" w:eastAsia="Times New Roman" w:hAnsi="Times New Roman"/>
          <w:sz w:val="18"/>
          <w:szCs w:val="18"/>
          <w:color w:val="auto"/>
        </w:rPr>
      </w:pPr>
    </w:p>
    <w:p>
      <w:pPr>
        <w:jc w:val="both"/>
        <w:ind w:left="1960" w:hanging="332"/>
        <w:spacing w:after="0" w:line="258" w:lineRule="auto"/>
        <w:tabs>
          <w:tab w:leader="none" w:pos="19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2022, and June 6, 2022, the Company granted to four of its directors options to purchase 14,976 ordinary shares and 4,992 ordinary shares, respectively, with an exercise price of $14.80 per share. Such options will vest one-third following 12 months from the grant date of such options, second one-third following 24 months from the grant date and the balance following 36 months. For the years ended December 31, 2024, 2023 and 2022, the Company recorded an expense of $20, $27 and $17 respectively, in respect for such grant.</w:t>
      </w:r>
    </w:p>
    <w:p>
      <w:pPr>
        <w:spacing w:after="0" w:line="183" w:lineRule="exact"/>
        <w:rPr>
          <w:rFonts w:ascii="Times New Roman" w:cs="Times New Roman" w:eastAsia="Times New Roman" w:hAnsi="Times New Roman"/>
          <w:sz w:val="18"/>
          <w:szCs w:val="18"/>
          <w:color w:val="auto"/>
        </w:rPr>
      </w:pPr>
    </w:p>
    <w:p>
      <w:pPr>
        <w:jc w:val="both"/>
        <w:ind w:left="1960" w:hanging="332"/>
        <w:spacing w:after="0" w:line="255" w:lineRule="auto"/>
        <w:tabs>
          <w:tab w:leader="none" w:pos="19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2022, in accordance with the terms of the 2017 Plan, the Board approved a modification of 46,964 outstanding options held by officers and employees that had an exercise price of $49.12 per share and reduced the exercise price to $14.80 per share. This resolution was effective from November 3, 2022, after receiving approval from the Israeli Tax Authorities. The Company calculated the fair value of such options immediately before and after the modification. The Company immediately recognized the additional fair value attributable to vested options, approximately $51, as share based payment expenses. The additional fair value resulting from the modification, approximately $30, is being expensed over the remaining vesting period of the modified options.</w:t>
      </w:r>
    </w:p>
    <w:p>
      <w:pPr>
        <w:spacing w:after="0" w:line="188"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modification of 46,021 additional outstanding options held by the Company’s CEO and two Directors was approved by the Board and the Company’s shareholders.</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58" w:lineRule="auto"/>
        <w:tabs>
          <w:tab w:leader="none" w:pos="19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2022 the Company granted 31,501 options to its employees at an exercise price of $14.80 per share. These options expire 10 years after their grant date and vest over three years in nine tranches. One-third of the options vested on September 13, 2023 and the remainder vest in eight equal quarterly tranches over a period of two years thereafter. For the years ended December 31, 2024, 2023 and 2022, the Company recorded an expense of $19, $22 and $10 respectively, in respect for such grant.</w:t>
      </w:r>
    </w:p>
    <w:p>
      <w:pPr>
        <w:spacing w:after="0" w:line="183" w:lineRule="exact"/>
        <w:rPr>
          <w:rFonts w:ascii="Times New Roman" w:cs="Times New Roman" w:eastAsia="Times New Roman" w:hAnsi="Times New Roman"/>
          <w:sz w:val="18"/>
          <w:szCs w:val="18"/>
          <w:color w:val="auto"/>
        </w:rPr>
      </w:pPr>
    </w:p>
    <w:p>
      <w:pPr>
        <w:jc w:val="both"/>
        <w:ind w:left="1960" w:hanging="332"/>
        <w:spacing w:after="0" w:line="261" w:lineRule="auto"/>
        <w:tabs>
          <w:tab w:leader="none" w:pos="19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2022 the Company granted 12,500 options to two of its officers at an exercise price of $14.80 per share. These options expire 10 years after their grant date and vest in twelve equal quarterly tranches over a period of three years. For the years ended December 31, 2024, 2023 and 2022, the Company recorded an expense of $7, $12 and $4 respectively, in respect for such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EQUITY (Cont.)</w:t>
      </w:r>
    </w:p>
    <w:p>
      <w:pPr>
        <w:spacing w:after="0" w:line="225" w:lineRule="exact"/>
        <w:rPr>
          <w:sz w:val="20"/>
          <w:szCs w:val="20"/>
          <w:color w:val="auto"/>
        </w:rPr>
      </w:pPr>
    </w:p>
    <w:p>
      <w:pPr>
        <w:ind w:left="1300" w:hanging="320"/>
        <w:spacing w:after="0"/>
        <w:tabs>
          <w:tab w:leader="none" w:pos="13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(RSUs) and Options to employees (Cont.)</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and RSUs granted (Cont.):</w:t>
      </w:r>
    </w:p>
    <w:p>
      <w:pPr>
        <w:spacing w:after="0" w:line="229" w:lineRule="exact"/>
        <w:rPr>
          <w:rFonts w:ascii="Times New Roman" w:cs="Times New Roman" w:eastAsia="Times New Roman" w:hAnsi="Times New Roman"/>
          <w:sz w:val="18"/>
          <w:szCs w:val="18"/>
          <w:b w:val="1"/>
          <w:bCs w:val="1"/>
          <w:color w:val="auto"/>
        </w:rPr>
      </w:pPr>
    </w:p>
    <w:p>
      <w:pPr>
        <w:jc w:val="both"/>
        <w:ind w:left="1960" w:hanging="332"/>
        <w:spacing w:after="0" w:line="258" w:lineRule="auto"/>
        <w:tabs>
          <w:tab w:leader="none" w:pos="196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June 2023 to October, 2023 the Company granted a total of 68,739 options to its employees (including 42,497 to its CEO) and one of its director at an exercise price of $14.80 per share. These options expire 10 years after their grant date and vest over three years in nine tranches. One-third of the options vested on June 18, 2024 and the remainder vest in eight equal quarterly tranches over a period of two years thereafter. For the year ended December 31, 2024 and 2023, the Company recorded an expense of$14 and $5 respectively, in respect for such grants.</w:t>
      </w:r>
    </w:p>
    <w:p>
      <w:pPr>
        <w:spacing w:after="0" w:line="183" w:lineRule="exact"/>
        <w:rPr>
          <w:rFonts w:ascii="Times New Roman" w:cs="Times New Roman" w:eastAsia="Times New Roman" w:hAnsi="Times New Roman"/>
          <w:sz w:val="18"/>
          <w:szCs w:val="18"/>
          <w:color w:val="auto"/>
        </w:rPr>
      </w:pPr>
    </w:p>
    <w:p>
      <w:pPr>
        <w:jc w:val="both"/>
        <w:ind w:left="1960" w:hanging="332"/>
        <w:spacing w:after="0" w:line="261" w:lineRule="auto"/>
        <w:tabs>
          <w:tab w:leader="none" w:pos="196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August 2024 to December 2024 the Company granted a total of 3,006,000 ordinary shares underlying RSUs, that are issuable upon the applicable vesting date under our Amended Share Option Plan, of which 227,647 RSUs were vested as of December 31, 2024. For the year ended December 31, 2024, the Company recorded an expense of $172, in respect for such grants.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Payment Expenses:</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share-based payment expense related to options, shares and RSUs granted to employees and service providers comprised, at each period, as follows:</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r>
      <w:tr>
        <w:trPr>
          <w:trHeight w:val="209"/>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expenses</w:t>
            </w:r>
          </w:p>
        </w:tc>
        <w:tc>
          <w:tcPr>
            <w:tcW w:w="8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payment expense</w:t>
            </w: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Represents an amount less than $1.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 RECOGNITION</w:t>
      </w:r>
    </w:p>
    <w:p>
      <w:pPr>
        <w:spacing w:after="0" w:line="225"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Goods and Services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derive its revenue from two categories: (a) sales of products and (b) services.</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disaggregated revenue by the nature of goods and services.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40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4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8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8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F-24</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 RECOGNITION (Cont.)</w:t>
      </w:r>
    </w:p>
    <w:p>
      <w:pPr>
        <w:spacing w:after="0" w:line="225"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Balances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accounts receivable and deferred revenues from contracts with customers: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495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996</w:t>
            </w:r>
          </w:p>
        </w:tc>
        <w:tc>
          <w:tcPr>
            <w:tcW w:w="4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w:t>
            </w:r>
          </w:p>
        </w:tc>
      </w:tr>
    </w:tbl>
    <w:p>
      <w:pPr>
        <w:spacing w:after="0" w:line="1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and accounts receivable are recorded when the right to consideration becomes unconditional.</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are two customers that accounted for 97% of the Company’s accounts receivable on December 31, 2024, which we believe present insignificant credit risk.</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Deferred revenue represents amounts received by the Company for which the related revenues have not been recognized because one or more of the revenue recognition criteria have not been met. Revenue recognized during the year ended December 31, 2024 from amounts included in deferred revenue at the beginning of the period was $ 642.</w:t>
      </w:r>
    </w:p>
    <w:p>
      <w:pPr>
        <w:spacing w:after="0" w:line="172"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price allocated to remaining performance obligations (“RPO”) represents contracted revenue that has not yet been recognized, which includes deferred revenue and non-cancelable amounts that will be invoiced and recognized as revenue in future periods.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our RPO:</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RPO:</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to be recognized within 1 year</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1,989</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be recognized in more than 1 year</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1,999</w:t>
            </w:r>
          </w:p>
        </w:tc>
        <w:tc>
          <w:tcPr>
            <w:tcW w:w="60" w:type="dxa"/>
            <w:vAlign w:val="bottom"/>
            <w:shd w:val="clear" w:color="auto" w:fill="CCEEFF"/>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RPO</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2,043</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GEOGRAPHIC AND SIGNIFICANT CUSTOMER INFORMATION</w:t>
      </w:r>
    </w:p>
    <w:p>
      <w:pPr>
        <w:spacing w:after="0" w:line="22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by major geographic region is based on the location of the Company’s customers.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below summarizes revenue by major geographic region for the years ended December 31, 2024,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40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4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8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18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F-25</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GEOGRAPHIC AND SIGNIFICANT CUSTOMER INFORMATION</w:t>
      </w:r>
    </w:p>
    <w:p>
      <w:pPr>
        <w:spacing w:after="0" w:line="225"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Customers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largest customers accounted for the following percentage of total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1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48%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G</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52%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less than 10%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NET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7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consumables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Subcontracted work and consulting</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 expenses</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2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7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1,733</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1,815</w:t>
            </w:r>
          </w:p>
        </w:tc>
        <w:tc>
          <w:tcPr>
            <w:tcW w:w="3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1,593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others</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F-26</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w w:val="99"/>
              </w:rPr>
              <w:t>NOTE 14 - OTHER FINANCING INCOME (EXPENSES), NET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a  discount  related  to  a</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credit facility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(1,229)</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SEPA set up fees</w:t>
            </w:r>
          </w:p>
        </w:tc>
        <w:tc>
          <w:tcPr>
            <w:tcW w:w="26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0" w:type="dxa"/>
            <w:vAlign w:val="bottom"/>
          </w:tcPr>
          <w:p>
            <w:pPr>
              <w:spacing w:after="0"/>
              <w:rPr>
                <w:sz w:val="17"/>
                <w:szCs w:val="17"/>
                <w:color w:val="auto"/>
              </w:rPr>
            </w:pPr>
          </w:p>
        </w:tc>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expenses attributable to derivate warrant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related to loan credit facility</w:t>
            </w:r>
          </w:p>
        </w:tc>
        <w:tc>
          <w:tcPr>
            <w:tcW w:w="26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related to leases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deposits</w:t>
            </w:r>
          </w:p>
        </w:tc>
        <w:tc>
          <w:tcPr>
            <w:tcW w:w="2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rates and others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1300" w:hanging="320"/>
        <w:spacing w:after="0"/>
        <w:tabs>
          <w:tab w:leader="none" w:pos="13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income taxes under Israeli tax laws:</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corporate tax rate was 23% in 2024, 2023 and 2022.</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generated net operating losses of approximately $60,600, which may be carried forward and offset against taxable income in the future for an indefinite period.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still in its development stage and has not generated significant revenues from its activities and has incurred substantial operating losses. Therefore, it is more likely than not that sufficient taxable income will not be available for the tax losses to be utilized in the foreseeable future. Therefore, a valuation allowance was recorded to cover the entire balance of the deferred tax assets.</w:t>
      </w:r>
    </w:p>
    <w:p>
      <w:pPr>
        <w:spacing w:after="0" w:line="189"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due to carryforward losses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13,938</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12,474</w:t>
            </w:r>
          </w:p>
        </w:tc>
        <w:tc>
          <w:tcPr>
            <w:tcW w:w="40" w:type="dxa"/>
            <w:vAlign w:val="bottom"/>
            <w:shd w:val="clear" w:color="auto" w:fill="CCEEFF"/>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60" w:right="4140" w:hanging="4156"/>
        <w:spacing w:after="0" w:line="532" w:lineRule="auto"/>
        <w:tabs>
          <w:tab w:leader="none" w:pos="16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uncertain tax positions and foreign sources of income.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16 -TRANSACTIONS AND BALANCES WITH RELATED PARTIES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Parties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Company’s offices are located in 15 Ha’Tidhar St., Raanana, Israel, and according to the lease agreement the current lease period is five years beginning on September 9, 2021 until September 8, 2026 (the “Lease Agreement”).</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According to the Lease Agreement, the monthly rent for the Company’s offices (excluding parking and management fees) are approximately NIS 79 thousand (approx. $25) in the first two years, NIS 82 thousand (approx. $26) in the third and fourth lease years and NIS 83 thousand (approx. $26) in the fifth year. All the amounts are linked to the Israeli Consumer Price Index.</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According to the Lease Agreement, the Company has an option to extend the lease period for another five years from September 9, 2026, to September 8, 2031, with a monthly rent of between NIS 96 thousand (approx. $30) and NIS 102 thousand (approx. $32) over the additional lease period linked with the Israeli Consumer Price Index.</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lease liability and right-of-use asset reflects the expected lease term until September 8, 2026 as the Company concluded that it was not reasonably certain that the option to extend will be exercised.</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operating lease expenses recorded in the Statements of Comprehensive Loss were $355, $375 and $357, respectively.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2024 were as follows:</w:t>
      </w:r>
    </w:p>
    <w:p>
      <w:pPr>
        <w:sectPr>
          <w:pgSz w:w="11900" w:h="16838" w:orient="portrait"/>
          <w:cols w:equalWidth="0" w:num="1">
            <w:col w:w="11240"/>
          </w:cols>
          <w:pgMar w:left="320" w:top="684"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-119380</wp:posOffset>
            </wp:positionV>
            <wp:extent cx="35661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2026</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Total future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-120650</wp:posOffset>
            </wp:positionV>
            <wp:extent cx="356616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Total lease liability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-114935</wp:posOffset>
            </wp:positionV>
            <wp:extent cx="356616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35661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541</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34290</wp:posOffset>
            </wp:positionV>
            <wp:extent cx="6686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684" w:right="339" w:bottom="0" w:gutter="0" w:footer="0" w:header="0"/>
          <w:type w:val="continuous"/>
        </w:sectPr>
      </w:pPr>
    </w:p>
    <w:p>
      <w:pPr>
        <w:spacing w:after="0" w:line="6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lease term and weighted average discount rate as of December 31,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was as follows:</w:t>
            </w:r>
          </w:p>
        </w:tc>
        <w:tc>
          <w:tcPr>
            <w:tcW w:w="84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3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5.1%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the Chief Executive Officer. The Company manages its business on the basis of one reportable segment and unit and derives revenues from sales of products and services (see Note 1 for a brief description of the Company’s business and Note 10 for details on the Company’s revenue recognition).</w:t>
      </w:r>
    </w:p>
    <w:p>
      <w:pPr>
        <w:spacing w:after="0" w:line="183"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CODM assesses the performance of the Company and decides how to allocate resources based on the operating results available that is also reported within the Statements of Comprehensive Loss. The measure of segment assets that is reviewed by the CODM is reported within the Balance Sheet as Total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ind w:left="1300" w:hanging="320"/>
        <w:spacing w:after="0" w:line="255" w:lineRule="auto"/>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7, 2025, the Company signed a Memorandum of Understanding (MOU) with Sujan Ventures. Under the terms of the MOU, Sujan Ventures will lead local efforts to introduce Rail Vision’s advanced safety systems to the Indian market. As an initial step, Rail Vision will conduct a short trial of its systems at the customer’s facilities to demonstrate their capabilities. Following satisfaction and approval of Sujan Venture’s customers, the parties intend to proceed with a definitive agreement to advance their collaboration. Sujan Ventures shall make an initial upfront payment to the Company and will make additional payments upon the completion of certain milestones. In addition, during the term of the MOU, Sujan Ventures shall have the exclusive right to negotiate and enter an agreement to distribute the Company’s solutions in India</w:t>
      </w:r>
    </w:p>
    <w:p>
      <w:pPr>
        <w:spacing w:after="0" w:line="188"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26, 2025, the Company entered into an amendment to the SEPA pursuant to which the Commitment Amount was increased to $30.0 million of the Company’s ordinary shares during the 36 months following the execution of the SEPA, subject to the restrictions and satisfaction of the conditions in the SEPA.</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Regarding additional Facility Warrants exercised subsequent to December 31, 2024 see Note 9B(6) above.</w:t>
      </w:r>
    </w:p>
    <w:p>
      <w:pPr>
        <w:sectPr>
          <w:pgSz w:w="11900" w:h="16838" w:orient="portrait"/>
          <w:cols w:equalWidth="0" w:num="1">
            <w:col w:w="11240"/>
          </w:cols>
          <w:pgMar w:left="320" w:top="684" w:right="339" w:bottom="0" w:gutter="0" w:footer="0" w:header="0"/>
          <w:type w:val="continuous"/>
        </w:sectPr>
      </w:pPr>
    </w:p>
    <w:bookmarkStart w:id="141" w:name="page142"/>
    <w:bookmarkEnd w:id="141"/>
    <w:p>
      <w:pPr>
        <w:ind w:left="320" w:hanging="320"/>
        <w:spacing w:after="0"/>
        <w:tabs>
          <w:tab w:leader="none" w:pos="32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Regarding additional ordinary shares issued under the SEPA subsequent to December 31, 2024 see Note 9B(8) above.</w:t>
      </w:r>
    </w:p>
    <w:p>
      <w:pPr>
        <w:sectPr>
          <w:pgSz w:w="11900" w:h="16838" w:orient="portrait"/>
          <w:cols w:equalWidth="0" w:num="1">
            <w:col w:w="9159"/>
          </w:cols>
          <w:pgMar w:left="1300" w:top="121" w:right="1440" w:bottom="1440" w:gutter="0" w:footer="0" w:header="0"/>
        </w:sectPr>
      </w:pPr>
    </w:p>
    <w:p>
      <w:pPr>
        <w:spacing w:after="0" w:line="2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33020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59"/>
          </w:cols>
          <w:pgMar w:left="1300" w:top="121" w:right="1440"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descriptions of the securities contained herein summarize the material terms and provisions of the ordinary shares and warrants of Rail Vision Ltd. (the “Company”, “we”, “our” or “us”), registered under Section 12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100,000,000 ordinary shares, no par value. All of our outstanding ordinary shares have been validly issued, fully paid and non-assessable. Our ordinary shares are not redeemable and are not subject to any preemptive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Attached to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shall confer upon the holders thereof:</w:t>
      </w:r>
    </w:p>
    <w:p>
      <w:pPr>
        <w:spacing w:after="0" w:line="225" w:lineRule="exact"/>
        <w:rPr>
          <w:sz w:val="20"/>
          <w:szCs w:val="20"/>
          <w:color w:val="auto"/>
        </w:rPr>
      </w:pPr>
    </w:p>
    <w:p>
      <w:pPr>
        <w:ind w:left="340" w:right="2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right to attend and to vote at all of our general meetings, whether regular or special, with each ordinary share entitling the holder thereof, which attend the meeting and participate at the voting, either in person electronically or by a proxy or by a written ballot, to one vote;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right to participate in distribution of dividends, if any, whether payable in cash or in bonus shares, in distribution of assets or in any other distribution, on a per share pro rata basis;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right to participate, upon our dissolution, in the distribution of our assets legally available for distribution, on a per share pro rata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and warrants are listed on the Nasdaq Capital Market under the symbols “RVSN,” and “RVSNW,”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Articles of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ordinary shares that are fully paid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the board of directors shall consist of such number of directors, not less than four (4) nor more than thirteen (13), including the external directors, which will be elected if and as required under the Israeli Companies Law, 5759-1999 (the “Companies Law”), as may be fixed from time to time by the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directors (excluding external directors, to the extent external directors are required to be elected and to serve on the board of directors pursuant to the requirements of the Companies Law), shall be classified, with respect to the term for which they each severally hold office, into three classes, as nearly equal in number as practicable, hereby designated as Class I, Class II and Class III (each, a “</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each Annual General Meeting, commencing with the Annual General Meeting to be held in 2025,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may at any time and from time to time appoint any person as a Director to fill a vacancy (whether such vacancy is due to a Director no longer serving or due to the number of directors serving being less than the maximum number of directors.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of directors, the board of directors shall determine at the time of appointment the class which the additional director shall be assigned.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elected directors, other than external directors, may be re-elected for an unlimited number of terms upon completion of their then-current term of office. External directors, if need to be elected and to serve on the board of directors pursuant to the Companies Law, are elected for an initial term of three years and may be removed from office pursuant to the terms of the Companies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and Special Meetings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we are required to hold an annual general meeting of our shareholders once every calendar year, at such time and place which shall be determined by our board of directors, that must be no later than 15 months after the date of the previous annual general meeting. All meetings other than the annual general meeting of shareholders are referred to as special general meetings. Our board of directors may call special meetings whenever it sees fit and upon the written request of: (a) any two of our directors or such number of directors equal to one quarter of the members of our board of directors; and/or (b) one or more shareholders holding, in the aggregate, either (i) 5% or more of our outstanding voting power or (ii) 5% or more of our outstanding issued shares and 1% of our outstanding voting power.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Resolutions regarding the following matters must be passed at a general meeting of our shareholders:</w:t>
      </w:r>
    </w:p>
    <w:p>
      <w:pPr>
        <w:spacing w:after="0" w:line="225"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amended and restated articles of association;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directors, including external directors;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acts and transactions requiring general meeting approval pursuant to the provisions of the Companies Law, its regulations and any other applicable law;</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(as such term is defined in the Companies Law).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Notice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requires that a notice of any annual or special shareholders meeting be provided at least 21 days prior to the meeting, and if the agenda of the meeting includes, among other matters, the appointment or removal of directors, the approval of transactions with office holders or interested or related parties, or an approval of a merger, notice must be provided at least 35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permitted under the Companies Law, under our amended and restated articles of association, the quorum required for our general meetings consists of at least two shareholders present in person, by proxy or written ballot, who hold or represent between them at least 25% of the total outstanding voting rights. If within half an hour of the time set forth for the general meeting a quorum is not present, the general meeting shall stand adjourned the same day of the following week, at the same hour and in the same place, or to such other date, time and place as prescribed in the notice to the shareholders and in such adjourned meeting, if no quorum is present within half an hour of the time arranged, any number of shareholders participating in the meeting, shall constitute a quorum.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Resolutions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all resolutions of our shareholders require a simple majority vote, unless otherwise required under the Companies Law or our amended and restated articles of association (article 39 regarding election and removal of directors requires a majority of 66 2/3%). A shareholder may vote in a general meeting in person, by proxy or by a written ballot.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Changing Rights Attached to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by the terms of the shares and subject to any applicable law, in order to change the rights attached to any class of shares, such change must be adopted at a general meeting of the affected class or by a written consent of all the shareholders of the affected class.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enlargement of an existing class of shares or the issuance of additional shares thereof, shall not be deemed to modify the rights attached to the previously issued shares of such class or of any other class, unless otherwise provided by the terms of the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 to Own Securities in Our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limitations on the right to own our securities. In certain circumstances the warrants have restrictions upon the exercise of such warrants if such exercise would result in the holders thereof owning more than 4.99% or 9.99% of our ordinary shares upon such exercise, as further described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Provisions Restricting Change in Control of Our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specific provisions of our amended and restated articles of association that would have an effect of delaying, deferring or preventing a change in control of the Company or that would operate only with respect to a merger, acquisition or corporate restructuring involving us. However, as described below, certain provisions of the Companies Law may have such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Law includes provisions that allow a merger transaction and requires that each company that is a party to the merger have the transaction approved by its board of directors and, unless certain requirements described under the Companies Law are met, a vote of the majority of shareholders, and, in the case of the target company, also a majority vote of each class of its shares. For purposes of the shareholder vote of each party, unless a court rules otherwise, the merger will not be deemed approved if shares representing a majority of the voting power present at the shareholders meeting and which are not held by the other party to the merger (or by any person or group of persons acting in concert who holds 25% or more of the voting power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requirement that governs all extraordinary transactions with controlling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 In addition, a merger may not be completed unless at least (1) 50 days have passed from the time that the requisite proposals for approval of the merger were filed with the Israeli Registrar of Companies by each merging company and (2) 30 days have passed since the merger was approved by the shareholders of each merging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5" w:name="page146"/>
    <w:bookmarkEnd w:id="1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Companies Law also provides that an acquisition of shares in an Israeli public company must be made by means of a “special” tender offer if as a result of the acquisition (1) the purchaser would become a holder of 25% or more of the voting rights in the company, unless there is already another holder of at least 25% or more of the voting rights in the company or (2) the purchaser would become a holder of more than 45% of the voting rights in the company, unless there is already a holder of more than 45% of the voting rights in the company. These requirements do not apply if, in general, the acquisition (1) was made in a private placement that received shareholders’ approval, subject to certain conditions, (2) was from a holder of 25% or more of the voting rights in the company which resulted in the acquirer becoming a holder of 25% or more of the voting rights in the company, or (3) was from a holder of more than 45% of the voting rights in the company which resulted in the acquirer becoming a holder of more than 45% of the voting rights in the company. A “special” tender offer must be extended to all shareholders. In general, a “special” tender offer may be consummated only if (1) at least 5% of the voting power attached to the company’s outstanding shares will be acquired by the offeror and (2) the offer is accepted by a majority of the offerees who notified the company of their position in connection with such offer (excluding the offeror, controlling shareholders, holders of 25% or more of the voting rights in the company or anyone on their behalf,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as a result of an acquisition of shares, the acquirer will hold more than 90% of an Israeli company’s outstanding shares, the acquisition must be made by means of a tender offer for all of the outstanding shares. In general, if less than 5% of the outstanding shares are not tendered in the tender offer and more than half of the offerees who have no personal interest in the offer tendered their shares, all the shares that the acquirer offered to purchase will be transferred to it by operation of law. However, a tender offer will also be accepted if the shareholders who do not accept the offer hold less than 2% of the issued and outstanding share capital of the company or of the applicable class of shares. Shareholders may request appraisal rights in connection with a full tender offer for a period of six months following the consummation of the tender offer, but the acquirer is entitled to stipulate, under certain conditions, that tendering shareholders will forfeit such appraisal rights.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Lastly, Israeli tax law treats some acquisitions, such as stock-for-stock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stock-for-stock swap.</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enable us to increase or reduce our share capital. Any such changes are subject to the provisions of the Companies Law and must be approved by a resolution duly passed by our shareholders at a general meeting by voting on such change in the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terms and provisions of the 4,355,327 warrants sold in our initial public offering, all of which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are exercisable at any time after their original issuance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ordinary shares underlying the warrants under the Securities Act is effective and available for the issuance of such shares, by payment in full in immediately available funds for the number of ordinary shares purchased upon such exercise. If a registration statement registering the issuance of the ordinary shares underlying the warrants under the Securities Act is not effective or available, the holder may, in its sole discretion, elect to exercise the warrant through a cashless exercise, in which case the holder would receive upon such exercise the net number of ordinary shares determined according to the formula set forth in the Warrant. No fractional shares will be issued in connection with the exercise of a warrant. In lieu of fractional shares, we will pay the holder an amount in cash equal to the fractional amount multiplied by the exercise price.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does not have the right to exercise any portion of the warrant if the holder (together with its affiliates) would beneficially own in excess of 4.99% of the number of ordinary shares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in such percentage shall not be effective until 61 days following notice from the holder to 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per whole ordinary share purchasable upon exercise of the warrants is $33.04 per share. The exercise price of the warrant is subject to appropriate adjustment in the event of certain stock dividends and distributions, stock splits, stock combinations, reclassifications or similar events affecting our ordinary shares and also upon any distributions of assets, including cash, stock or other property to our shareholders.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laws, the warrants may be offered for sale, sold, transferred or assigned without our consent.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the holders of the warrants will be entitled to receive upon exercise of the warrants the kind and amount of securities, cash or other property that the holders would have received had they exercised the warrants immediately prior to such fundamental transaction without regard to any limitations on exercised contained in the warrants.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Rights as a Shareholder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warrants or by virtue of such holder’s ownership of our ordinary shares, the holder of a warrant does not have the rights or privileges of a holder of our ordinary shares, including any voting rights, until the holder exercises the warrant.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warrants are governed by New York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other securities that are registered under Section 12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154940</wp:posOffset>
            </wp:positionV>
            <wp:extent cx="7136130" cy="981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36130" cy="9810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Rail Vision Ltd</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Remuneration Policy for Company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499110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48" w:name="page149"/>
    <w:bookmarkEnd w:id="148"/>
    <w:p>
      <w:pPr>
        <w:ind w:left="332" w:hanging="332"/>
        <w:spacing w:after="0"/>
        <w:tabs>
          <w:tab w:leader="none" w:pos="33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background, purpose of document</w:t>
      </w:r>
    </w:p>
    <w:p>
      <w:pPr>
        <w:spacing w:after="0" w:line="229" w:lineRule="exact"/>
        <w:rPr>
          <w:rFonts w:ascii="Times New Roman" w:cs="Times New Roman" w:eastAsia="Times New Roman" w:hAnsi="Times New Roman"/>
          <w:sz w:val="18"/>
          <w:szCs w:val="18"/>
          <w:b w:val="1"/>
          <w:bCs w:val="1"/>
          <w:color w:val="auto"/>
        </w:rPr>
      </w:pPr>
    </w:p>
    <w:p>
      <w:pPr>
        <w:jc w:val="both"/>
        <w:ind w:left="652" w:hanging="328"/>
        <w:spacing w:after="0" w:line="261"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attributes great importance to the human factor in all ranks of the Company and particularly officers in the Company’s management level. Therefore, and in light of past experience, suitable and appropriate remuneration of Company officers is of considerable importance,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by offering appropriate remuneration to Company officers for their contribution to the Company’s business success considering their areas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and the Company’s risk management policies amongst other factors.</w:t>
      </w:r>
    </w:p>
    <w:p>
      <w:pPr>
        <w:spacing w:after="0" w:line="179"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defined its Remuneration Policy for officers in a manner that considers improving the Company’s business procedures and proceedings in a business environment and also encourages increasing its profitability over time. The Remuneration Policy was determined to align with the Company’s business strategy and improve officers sense of identification with the Company and its activity, increase their satisfaction and motivation and preserve valuable officers in the long run.</w:t>
      </w:r>
    </w:p>
    <w:p>
      <w:pPr>
        <w:spacing w:after="0" w:line="179"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Remuneration Policy was determined with an emphasis on the principles stipulated in the Companies Law, 5759-1999 (hereinafter: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52" w:hanging="328"/>
        <w:spacing w:after="0" w:line="258"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emphasized that this document does not establish any right for officers to whom the principles of the Remuneration Policy apply or any other third party. The Company is not obligated to offer officers the components specified in the Remuneration Policy, all or part thereof, and is not obligated to provide them with the maximal extent of any remuneration component. The remuneration components that officers are entitled to, will be as individually approved by the authorized organs in the Company (the Remuneration Committee, Board of Directors and General Meeting, as applicable and subject to the provisions of the law).</w:t>
      </w:r>
    </w:p>
    <w:p>
      <w:pPr>
        <w:spacing w:after="0" w:line="183"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is not to be considered as exhausting all the provisions of the law or the definitions therein. This Remuneration Policy does not constitute any substitute or derogates from the provisions stipulated by existing laws and regulations.</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Policy will apply to remuneration approved as of the date of adopting the policy by the Company and thereafter. Note that this Remuneration Policy will not undermine existing engagements between the Company and its officers.</w:t>
      </w:r>
    </w:p>
    <w:p>
      <w:pPr>
        <w:spacing w:after="0" w:line="161"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Policy is phrased in masculine, but refers to men and women alike.</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Principles of the Remuneration Policy</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office and employment of Company officers will be determined considering and according to the following principles:</w:t>
      </w:r>
    </w:p>
    <w:p>
      <w:pPr>
        <w:spacing w:after="0" w:line="225" w:lineRule="exact"/>
        <w:rPr>
          <w:rFonts w:ascii="Times New Roman" w:cs="Times New Roman" w:eastAsia="Times New Roman" w:hAnsi="Times New Roman"/>
          <w:sz w:val="18"/>
          <w:szCs w:val="18"/>
          <w:b w:val="1"/>
          <w:bCs w:val="1"/>
          <w:color w:val="auto"/>
        </w:rPr>
      </w:pPr>
    </w:p>
    <w:p>
      <w:pPr>
        <w:jc w:val="both"/>
        <w:ind w:left="652" w:hanging="328"/>
        <w:spacing w:after="0" w:line="261" w:lineRule="auto"/>
        <w:tabs>
          <w:tab w:leader="none" w:pos="65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reviewing and approving an officer’s terms of office and employment, the Remuneration Committee and Board of Directors must consider all the remuneration components, including monthly wages, accessory conditions, retirement grant (grant, payment, compensation or any other benefit provided to officers when ending their service for the Company, including the period of advanced notice) as well as any benefit, payment or obligation for payment or a benefit as said, if any, awarded on account of his office or employment as said.</w:t>
      </w:r>
    </w:p>
    <w:p>
      <w:pPr>
        <w:spacing w:after="0" w:line="179"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ensure that its variable remuneration components will not encourage taking risks beyond the extent of risk desired by the Company, according to the Company’s risk management policy, as valid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149" w:name="page150"/>
    <w:bookmarkEnd w:id="149"/>
    <w:p>
      <w:pPr>
        <w:jc w:val="both"/>
        <w:ind w:left="660" w:hanging="328"/>
        <w:spacing w:after="0" w:line="258"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reviewing and approving the terms of an officer’s office and employment the Remuneration Committee and Board of Directors will,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consider the officer’s education, skills, expertise, professional experience and achievements in the Company (if the officer served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prior to the date of approval) and outside the Company. Additionally, if required by the Remuneration Committee (and without any obligation), details regarding officers serving in a number of public companies similar to the Company and whose shares are traded on Nasdaq, will be presented for the sake of comparison.</w:t>
      </w:r>
    </w:p>
    <w:p>
      <w:pPr>
        <w:spacing w:after="0" w:line="18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approving the terms of office and employment upon the initial appointment of an officer in the Company and at the request of the Remuneration Committee, certificates and documents attesting to an officer’s education and professional experience will be presented to the members of the Remuneration Committee and the Board of Directors.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stipulated in the Remuneration Policy will be linked to the increase in the Israeli Consumer Price Index, every year, once a year, in the month of February, based on the CPI known for the month of January (published in February). It is clarified that if there will be a decrease in the CPI as said, the said amounts in the Remuneration Policy will not be decreased as a result thereof.</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Wage ratio</w:t>
      </w:r>
    </w:p>
    <w:p>
      <w:pPr>
        <w:spacing w:after="0" w:line="225" w:lineRule="exact"/>
        <w:rPr>
          <w:sz w:val="20"/>
          <w:szCs w:val="20"/>
          <w:color w:val="auto"/>
        </w:rPr>
      </w:pPr>
    </w:p>
    <w:p>
      <w:pPr>
        <w:jc w:val="right"/>
        <w:ind w:left="660"/>
        <w:spacing w:after="0" w:line="261" w:lineRule="auto"/>
        <w:rPr>
          <w:sz w:val="20"/>
          <w:szCs w:val="20"/>
          <w:color w:val="auto"/>
        </w:rPr>
      </w:pPr>
      <w:r>
        <w:rPr>
          <w:rFonts w:ascii="Times New Roman" w:cs="Times New Roman" w:eastAsia="Times New Roman" w:hAnsi="Times New Roman"/>
          <w:sz w:val="18"/>
          <w:szCs w:val="18"/>
          <w:color w:val="auto"/>
        </w:rPr>
        <w:t>12.1    In determining the terms of office or employment, the Remuneration Committee and Board of Directors will review the ratio between the cost of the terms of office and employment of an officer and the “wages cost” of the rest of the Company employees and “contractor</w:t>
      </w:r>
    </w:p>
    <w:p>
      <w:pPr>
        <w:ind w:left="1300"/>
        <w:spacing w:after="0" w:line="209" w:lineRule="auto"/>
        <w:rPr>
          <w:sz w:val="20"/>
          <w:szCs w:val="20"/>
          <w:color w:val="auto"/>
        </w:rPr>
      </w:pPr>
      <w:r>
        <w:rPr>
          <w:rFonts w:ascii="Times New Roman" w:cs="Times New Roman" w:eastAsia="Times New Roman" w:hAnsi="Times New Roman"/>
          <w:sz w:val="18"/>
          <w:szCs w:val="18"/>
          <w:color w:val="auto"/>
        </w:rPr>
        <w:t>workers employed by the Company”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will note whether in their opinion, it is an appropriate and reasonable ratio considering the nature, size and mix of manpower employed by the Company, as well as its area of operation.</w:t>
      </w:r>
    </w:p>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333"/>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12.2</w:t>
            </w: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As of the date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this policy, the ratio between the average cost of the terms of office and employment of the active Board Chairperson,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Company’s CEO and the other officers who are not directors (based on their wages cost for a full time 100% position with the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Company), the average wage cost and the median wages of the remaining Company employees and contractors workers employed by the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are: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58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rPr>
              <w:t>Company CEO</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1:2.59</w:t>
            </w:r>
          </w:p>
        </w:tc>
        <w:tc>
          <w:tcPr>
            <w:tcW w:w="140" w:type="dxa"/>
            <w:vAlign w:val="bottom"/>
          </w:tcPr>
          <w:p>
            <w:pPr>
              <w:spacing w:after="0"/>
              <w:rPr>
                <w:sz w:val="17"/>
                <w:szCs w:val="17"/>
                <w:color w:val="auto"/>
              </w:rPr>
            </w:pPr>
          </w:p>
        </w:tc>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1:2.67</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officers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Active Board Chairperson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1:1.58</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present scope of employment of the Board Chairperson is about 20%.</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these are reasonable considering the Company’s size, nature of activity, expertise and skills required of its officers and nature of its business and also that the said ratios do not adversely affect the work relations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firstLine="8"/>
        <w:spacing w:after="0" w:line="195" w:lineRule="auto"/>
        <w:tabs>
          <w:tab w:leader="none" w:pos="112" w:val="left"/>
        </w:tabs>
        <w:numPr>
          <w:ilvl w:val="0"/>
          <w:numId w:val="1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meaning of the terms “wages cost” and “contractor workers employed by the Company” are as defined in section (3) of the First Addendum to Part A of the Companies Law.</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details in this section are based on the wages cost immediately after completing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0" w:name="page151"/>
    <w:bookmarkEnd w:id="150"/>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ratio between the variable components and the fixed components offered to officers will be determined according to the Company’s risk management policy and the objectives of this policy. The congruence between the remuneration components will be expressed by suitable compensation for valuable employees, whilst encouraging taking measured risks that will improve the Company’s performances. In every given year, the desired ratio between the variable components and the fixed components of Company employees will be as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follows:</w:t>
      </w:r>
      <w:r>
        <w:rPr>
          <w:rFonts w:ascii="Times New Roman" w:cs="Times New Roman" w:eastAsia="Times New Roman" w:hAnsi="Times New Roman"/>
          <w:sz w:val="29"/>
          <w:szCs w:val="29"/>
          <w:color w:val="auto"/>
          <w:vertAlign w:val="superscript"/>
        </w:rPr>
        <w:t>3</w:t>
      </w:r>
    </w:p>
    <w:p>
      <w:pPr>
        <w:spacing w:after="0" w:line="121"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CEO, (active) Board Chairperson – the varying remuneration component (bonus and equity based) will be no more than 70% of the entire cost of the remuneration package (fixed, bonus and equity based). The aforementioned shall not apply to the current terms of office of the Board Chairperson, Mr. Shmuel Donnerstein, which were approved prior to the date of approval of the remuneration policy, and for which the present varying remuneration component is 95%.</w:t>
      </w:r>
    </w:p>
    <w:p>
      <w:pPr>
        <w:spacing w:after="0" w:line="180"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Other officers (excluding members of the Board) – the varying remuneration component (bonus and equity based) will be no more than 70% of the entire cost of the remuneration package (fixed, bonus and equity based).</w:t>
      </w:r>
    </w:p>
    <w:p>
      <w:pPr>
        <w:spacing w:after="0" w:line="162" w:lineRule="exact"/>
        <w:rPr>
          <w:sz w:val="20"/>
          <w:szCs w:val="20"/>
          <w:color w:val="auto"/>
        </w:rPr>
      </w:pPr>
    </w:p>
    <w:p>
      <w:pPr>
        <w:ind w:left="660" w:hanging="328"/>
        <w:spacing w:after="0"/>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Immaterial change in the terms of office and employment</w:t>
      </w:r>
    </w:p>
    <w:p>
      <w:pPr>
        <w:spacing w:after="0" w:line="225"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13.1An immaterial change in the terms of office and employment of the Company CEO, will be approved by the Remuneration Committee and Company’s Board of Directors only, provided that the terms of the CEO’s terms of office and employment after the said change, will be compatible to the Remuneration Policy.</w:t>
      </w:r>
    </w:p>
    <w:p>
      <w:pPr>
        <w:spacing w:after="0" w:line="175"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13.2An immaterial change in the terms of office and employment of the Company’s VP or other officer subordinate to the CEO, will be approved by the Company’s CEO only, provided that the terms of office and employment after the said change, will be compatible to the Remuneration Policy.</w:t>
      </w:r>
    </w:p>
    <w:p>
      <w:pPr>
        <w:spacing w:after="0" w:line="171"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policy, “</w:t>
      </w:r>
      <w:r>
        <w:rPr>
          <w:rFonts w:ascii="Times New Roman" w:cs="Times New Roman" w:eastAsia="Times New Roman" w:hAnsi="Times New Roman"/>
          <w:sz w:val="18"/>
          <w:szCs w:val="18"/>
          <w:b w:val="1"/>
          <w:bCs w:val="1"/>
          <w:color w:val="auto"/>
        </w:rPr>
        <w:t>immaterial change</w:t>
      </w:r>
      <w:r>
        <w:rPr>
          <w:rFonts w:ascii="Times New Roman" w:cs="Times New Roman" w:eastAsia="Times New Roman" w:hAnsi="Times New Roman"/>
          <w:sz w:val="18"/>
          <w:szCs w:val="18"/>
          <w:color w:val="auto"/>
        </w:rPr>
        <w:t>” will be considered a change of not more than ten percent (10%), compared to the approved remuneration package (accumulatively over the entire period of the Remuneration Policy), provided that it does not exceed the limits mentioned in this policy.</w:t>
      </w:r>
    </w:p>
    <w:p>
      <w:pPr>
        <w:spacing w:after="0" w:line="17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Fixed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maximal, monthly base salary (hereinafter: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for Company officers is specified below:</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Maximal remuneration of</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Base Salary (in thousand</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NIS)</w:t>
            </w:r>
          </w:p>
        </w:tc>
      </w:tr>
      <w:tr>
        <w:trPr>
          <w:trHeight w:val="191"/>
        </w:trPr>
        <w:tc>
          <w:tcPr>
            <w:tcW w:w="20" w:type="dxa"/>
            <w:vAlign w:val="bottom"/>
          </w:tcPr>
          <w:p>
            <w:pPr>
              <w:spacing w:after="0"/>
              <w:rPr>
                <w:sz w:val="16"/>
                <w:szCs w:val="16"/>
                <w:color w:val="auto"/>
              </w:rPr>
            </w:pPr>
          </w:p>
        </w:tc>
        <w:tc>
          <w:tcPr>
            <w:tcW w:w="4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Company CEO</w:t>
            </w:r>
          </w:p>
        </w:tc>
        <w:tc>
          <w:tcPr>
            <w:tcW w:w="12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officer</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85</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Board Chairperson / directors who provide services to</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90</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jc w:val="both"/>
        <w:ind w:firstLine="8"/>
        <w:spacing w:after="0" w:line="219" w:lineRule="auto"/>
        <w:tabs>
          <w:tab w:leader="none" w:pos="134" w:val="left"/>
        </w:tabs>
        <w:numPr>
          <w:ilvl w:val="0"/>
          <w:numId w:val="1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It is emphasized that the intention is the planned ratio only, assuming receiving the target bonus determined for each of the Company’s officers or the relevant subsidiaries (if such exist). The actual ratio between the components of the remuneration package in a given year, might change due to under-performance or over-performance that might affect the variable remuneration as said in this policy. In calculating the range as said, payment of a one-time bonus was not taken into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1" w:name="page152"/>
    <w:bookmarkEnd w:id="151"/>
    <w:p>
      <w:pPr>
        <w:ind w:left="328"/>
        <w:spacing w:after="0"/>
        <w:rPr>
          <w:sz w:val="20"/>
          <w:szCs w:val="20"/>
          <w:color w:val="auto"/>
        </w:rPr>
      </w:pPr>
      <w:r>
        <w:rPr>
          <w:rFonts w:ascii="Times New Roman" w:cs="Times New Roman" w:eastAsia="Times New Roman" w:hAnsi="Times New Roman"/>
          <w:sz w:val="18"/>
          <w:szCs w:val="18"/>
          <w:color w:val="auto"/>
        </w:rPr>
        <w:t>The amounts in the above table are for a full-time position (100%).</w:t>
      </w:r>
    </w:p>
    <w:p>
      <w:pPr>
        <w:spacing w:after="0" w:line="225"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The Base Salary for purpose of the above table was calculated in terms of employer cost for all fixed components, and when referring to an officer receiving remuneration as management fees - the full amount of management fees (excluding VAT), excluding (either as an employee or as management fee) varying salary components (if any) as detailed below.</w:t>
      </w:r>
    </w:p>
    <w:p>
      <w:pPr>
        <w:spacing w:after="0" w:line="176" w:lineRule="exact"/>
        <w:rPr>
          <w:sz w:val="20"/>
          <w:szCs w:val="20"/>
          <w:color w:val="auto"/>
        </w:rPr>
      </w:pPr>
    </w:p>
    <w:p>
      <w:pPr>
        <w:ind w:left="328" w:hanging="328"/>
        <w:spacing w:after="0"/>
        <w:tabs>
          <w:tab w:leader="none" w:pos="3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 officer employed in a partial position, the amounts will be calculated relatively compared to the partiality of the position.</w:t>
      </w:r>
    </w:p>
    <w:p>
      <w:pPr>
        <w:spacing w:after="0" w:line="22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actually paid to each officer, will be reviewed by the Remuneration Committee and Board of Directors from time to time and updated as necessary (subject to the provisions of this Remuneration Policy) after reviewing and comparing it to the Company’s business condition and the manpower employed by the Company at the time.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employed as part of an employment agreement (meaning do not provide management services as part of a management agreement with a company owned by them) will be entitled to social benefits as acceptable in the labor market and as customary in the Company, such as provisions to provident funds, pension and directors insurance for compensation and severance pay, which will not be less than the provisions stipulated in the law, as well as provisions to an advanced study fund, loss of working capacity insurance, vacation, sick leave and convalescence pay.</w:t>
      </w:r>
    </w:p>
    <w:p>
      <w:pPr>
        <w:spacing w:after="0" w:line="17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clarified that for officers serving according to a management agreement with a company owned by them, there will be no employee-employer relations with the Company and they will not be entitled to the accessory conditions in this section, since these are included in the said management fees.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35" w:lineRule="auto"/>
        <w:tabs>
          <w:tab w:leader="none" w:pos="32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and employment of officers, whether serving in the Company by virtue of a management agreement and whether employed by the company as hired employees, might include additional benefits, such as: a car (by operational lease or in value) and car expenses as acceptable for officers of their rank, including vehicle and telephone expenses, advanced study funds beyond the limit of tax exemption,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salary, telephone expenses and cellular telephone (including reimbursement of travel expenses), entitlement to sick pay from the first day of absence, annual vacation (including accumulating and redeeming vacation days), holiday gifts, medical testing and more.</w:t>
      </w:r>
    </w:p>
    <w:p>
      <w:pPr>
        <w:spacing w:after="0" w:line="19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officers might be entitled to reimbursement/payment of reasonable expenses actually spent as part of their position according to the Company’s policy, as determined from time to time, including entertainment and living expenses in the capacity of their position, all according to Company procedures. There is no limit as to the amounts of reimbursement as said.</w:t>
      </w:r>
    </w:p>
    <w:p>
      <w:pPr>
        <w:spacing w:after="0" w:line="175"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include tax imposed on an officer for a variable component or components of remuneration, including any benefit provided to the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251460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152" w:name="page153"/>
    <w:bookmarkEnd w:id="152"/>
    <w:p>
      <w:pPr>
        <w:jc w:val="both"/>
        <w:ind w:left="328" w:hanging="328"/>
        <w:spacing w:after="0" w:line="266" w:lineRule="auto"/>
        <w:tabs>
          <w:tab w:leader="none" w:pos="32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special cases, it will be possible to give a new officer a signing-on bonus in the extent of up to three (3) times the Base Salary (apart from other grants specified in this policy). It is clarified that the officer might be required to return the signing-on bonus to the Company, entirely or partially, if he leaves the Company of his initiative, within two years from commencing his employment (clawback).</w:t>
      </w:r>
    </w:p>
    <w:p>
      <w:pPr>
        <w:spacing w:after="0" w:line="172" w:lineRule="exact"/>
        <w:rPr>
          <w:sz w:val="20"/>
          <w:szCs w:val="20"/>
          <w:color w:val="auto"/>
        </w:rPr>
      </w:pPr>
    </w:p>
    <w:p>
      <w:pPr>
        <w:ind w:left="328" w:hanging="328"/>
        <w:spacing w:after="0"/>
        <w:tabs>
          <w:tab w:leader="none" w:pos="328"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Variable components</w:t>
      </w:r>
    </w:p>
    <w:p>
      <w:pPr>
        <w:spacing w:after="0" w:line="229" w:lineRule="exact"/>
        <w:rPr>
          <w:sz w:val="20"/>
          <w:szCs w:val="20"/>
          <w:color w:val="auto"/>
        </w:rPr>
      </w:pPr>
    </w:p>
    <w:p>
      <w:pPr>
        <w:jc w:val="both"/>
        <w:ind w:left="328" w:hanging="328"/>
        <w:spacing w:after="0" w:line="258" w:lineRule="auto"/>
        <w:tabs>
          <w:tab w:leader="none" w:pos="32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give officers an annual bonus according to parameters and targets determined in the bonus plan (that will be approved by the Remuneration Committee and Board of Directors) or individually to each officer or based on the employment agreement or his office, for each year or a longer period of time, all according to the discretion of the organ authorized to determine the said targets. The annual bonus for officers will be based on measurable, qualitative targets or any combination thereof. When an officer is a controlling party or a relative of a controlling party in the Company as defined in the law, additional approvals will be required according to the law.</w:t>
      </w:r>
    </w:p>
    <w:p>
      <w:pPr>
        <w:spacing w:after="0" w:line="183"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quantitative measures will be determined in advance and evaluating performances based on quality measures will be reviewed retroactively. The Board of Directors will be entitled to decide on changing the targets for any officer in the Company by recommendation of the Renumeration Committee. It is clarified that changing targets retroactively, will be done under special circumstances (for example – changing a position during the year, a change in the Company’s activity or assets, entering new projects, performing material transactions during the year which require that the officer avert his managerial attention thereto) or material events that occurred, which justify changing targets in a manner that is required under the circumstances or special events, all without undermining the Company’s best interests.</w:t>
      </w:r>
    </w:p>
    <w:p>
      <w:pPr>
        <w:spacing w:after="0" w:line="18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weight of the personal and qualitative targets of the total bonus targets will be as follows:</w:t>
      </w:r>
    </w:p>
    <w:p>
      <w:pPr>
        <w:spacing w:after="0" w:line="221" w:lineRule="exact"/>
        <w:rPr>
          <w:sz w:val="20"/>
          <w:szCs w:val="20"/>
          <w:color w:val="auto"/>
        </w:rPr>
      </w:pPr>
    </w:p>
    <w:tbl>
      <w:tblPr>
        <w:tblLayout w:type="fixed"/>
        <w:tblInd w:w="328"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Relative weight</w:t>
            </w:r>
          </w:p>
        </w:tc>
        <w:tc>
          <w:tcPr>
            <w:tcW w:w="20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32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Company level</w:t>
            </w:r>
          </w:p>
        </w:tc>
        <w:tc>
          <w:tcPr>
            <w:tcW w:w="20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Qualitative</w:t>
            </w: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measurable targets</w:t>
            </w:r>
          </w:p>
        </w:tc>
        <w:tc>
          <w:tcPr>
            <w:tcW w:w="23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measurable targets</w:t>
            </w: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targets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0</wp:posOffset>
            </wp:positionV>
            <wp:extent cx="60604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tbl>
      <w:tblPr>
        <w:tblLayout w:type="fixed"/>
        <w:tblInd w:w="328"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Company CEO</w:t>
            </w:r>
          </w:p>
        </w:tc>
        <w:tc>
          <w:tcPr>
            <w:tcW w:w="1280" w:type="dxa"/>
            <w:vAlign w:val="bottom"/>
          </w:tcPr>
          <w:p>
            <w:pPr>
              <w:spacing w:after="0"/>
              <w:rPr>
                <w:sz w:val="20"/>
                <w:szCs w:val="20"/>
                <w:color w:val="auto"/>
              </w:rPr>
            </w:pPr>
          </w:p>
        </w:tc>
        <w:tc>
          <w:tcPr>
            <w:tcW w:w="18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80%-100%</w:t>
            </w:r>
          </w:p>
        </w:tc>
        <w:tc>
          <w:tcPr>
            <w:tcW w:w="0" w:type="dxa"/>
            <w:vAlign w:val="bottom"/>
          </w:tcPr>
          <w:p>
            <w:pPr>
              <w:spacing w:after="0"/>
              <w:rPr>
                <w:sz w:val="1"/>
                <w:szCs w:val="1"/>
                <w:color w:val="auto"/>
              </w:rPr>
            </w:pPr>
          </w:p>
        </w:tc>
      </w:tr>
      <w:tr>
        <w:trPr>
          <w:trHeight w:val="4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Active Board Chairperson / directors who</w:t>
            </w:r>
          </w:p>
        </w:tc>
        <w:tc>
          <w:tcPr>
            <w:tcW w:w="1280" w:type="dxa"/>
            <w:vAlign w:val="bottom"/>
          </w:tcPr>
          <w:p>
            <w:pPr>
              <w:spacing w:after="0"/>
              <w:rPr>
                <w:sz w:val="24"/>
                <w:szCs w:val="24"/>
                <w:color w:val="auto"/>
              </w:rPr>
            </w:pPr>
          </w:p>
        </w:tc>
        <w:tc>
          <w:tcPr>
            <w:tcW w:w="18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80%-100%</w:t>
            </w:r>
          </w:p>
        </w:tc>
        <w:tc>
          <w:tcPr>
            <w:tcW w:w="0" w:type="dxa"/>
            <w:vAlign w:val="bottom"/>
          </w:tcPr>
          <w:p>
            <w:pPr>
              <w:spacing w:after="0"/>
              <w:rPr>
                <w:sz w:val="1"/>
                <w:szCs w:val="1"/>
                <w:color w:val="auto"/>
              </w:rPr>
            </w:pPr>
          </w:p>
        </w:tc>
      </w:tr>
      <w:tr>
        <w:trPr>
          <w:trHeight w:val="126"/>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provide services to the Company</w:t>
            </w:r>
          </w:p>
        </w:tc>
        <w:tc>
          <w:tcPr>
            <w:tcW w:w="12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officers (excluding directors)</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30%-60%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280"/>
        <w:spacing w:after="0" w:line="258" w:lineRule="auto"/>
        <w:rPr>
          <w:sz w:val="20"/>
          <w:szCs w:val="20"/>
          <w:color w:val="auto"/>
        </w:rPr>
      </w:pPr>
      <w:r>
        <w:rPr>
          <w:rFonts w:ascii="Times New Roman" w:cs="Times New Roman" w:eastAsia="Times New Roman" w:hAnsi="Times New Roman"/>
          <w:sz w:val="18"/>
          <w:szCs w:val="18"/>
          <w:color w:val="auto"/>
        </w:rPr>
        <w:t>0%-20% but no more than 3 base salaries</w:t>
      </w:r>
    </w:p>
    <w:p>
      <w:pPr>
        <w:ind w:right="1280"/>
        <w:spacing w:after="0" w:line="250" w:lineRule="auto"/>
        <w:rPr>
          <w:sz w:val="20"/>
          <w:szCs w:val="20"/>
          <w:color w:val="auto"/>
        </w:rPr>
      </w:pPr>
      <w:r>
        <w:rPr>
          <w:rFonts w:ascii="Times New Roman" w:cs="Times New Roman" w:eastAsia="Times New Roman" w:hAnsi="Times New Roman"/>
          <w:sz w:val="18"/>
          <w:szCs w:val="18"/>
          <w:color w:val="auto"/>
        </w:rPr>
        <w:t>0%-20% but no more than 3 base salaries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30%-60%</w:t>
      </w:r>
    </w:p>
    <w:p>
      <w:pPr>
        <w:spacing w:after="0" w:line="207" w:lineRule="exact"/>
        <w:rPr>
          <w:sz w:val="20"/>
          <w:szCs w:val="20"/>
          <w:color w:val="auto"/>
        </w:rPr>
      </w:pPr>
    </w:p>
    <w:p>
      <w:pPr>
        <w:sectPr>
          <w:pgSz w:w="11900" w:h="16838" w:orient="portrait"/>
          <w:cols w:equalWidth="0" w:num="2">
            <w:col w:w="6868" w:space="720"/>
            <w:col w:w="3320"/>
          </w:cols>
          <w:pgMar w:left="652" w:top="661" w:right="339" w:bottom="1440" w:gutter="0" w:footer="0" w:header="0"/>
          <w:type w:val="continuous"/>
        </w:sectPr>
      </w:pPr>
    </w:p>
    <w:p>
      <w:pPr>
        <w:ind w:left="328"/>
        <w:spacing w:after="0" w:line="282" w:lineRule="auto"/>
        <w:rPr>
          <w:sz w:val="20"/>
          <w:szCs w:val="20"/>
          <w:color w:val="auto"/>
        </w:rPr>
      </w:pPr>
      <w:r>
        <w:rPr>
          <w:rFonts w:ascii="Times New Roman" w:cs="Times New Roman" w:eastAsia="Times New Roman" w:hAnsi="Times New Roman"/>
          <w:sz w:val="18"/>
          <w:szCs w:val="18"/>
          <w:color w:val="auto"/>
        </w:rPr>
        <w:t>Nonetheless, the scope of the bonus for the Company CEO, based on qualitative, discretional targets, will not exceed three (3) times the Base Salary.</w:t>
      </w:r>
    </w:p>
    <w:p>
      <w:pPr>
        <w:spacing w:after="0" w:line="162" w:lineRule="exact"/>
        <w:rPr>
          <w:sz w:val="20"/>
          <w:szCs w:val="20"/>
          <w:color w:val="auto"/>
        </w:rPr>
      </w:pPr>
    </w:p>
    <w:p>
      <w:pPr>
        <w:ind w:left="328" w:hanging="328"/>
        <w:spacing w:after="0"/>
        <w:tabs>
          <w:tab w:leader="none" w:pos="32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Measurable Targets</w:t>
      </w:r>
    </w:p>
    <w:p>
      <w:pPr>
        <w:spacing w:after="0" w:line="225" w:lineRule="exact"/>
        <w:rPr>
          <w:rFonts w:ascii="Times New Roman" w:cs="Times New Roman" w:eastAsia="Times New Roman" w:hAnsi="Times New Roman"/>
          <w:sz w:val="18"/>
          <w:szCs w:val="18"/>
          <w:color w:val="auto"/>
        </w:rPr>
      </w:pPr>
    </w:p>
    <w:p>
      <w:pPr>
        <w:ind w:left="968"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21.1Personal Targets: will include at least one of the measurable components directly effected by the activity of the relevant officer, such as: the parameter of completing milestones in significant projects, the parameter of adhering with internal procedures and complying with the provisions of the law. These targets will inter alia include long term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type w:val="continuous"/>
        </w:sectPr>
      </w:pPr>
    </w:p>
    <w:bookmarkStart w:id="153" w:name="page154"/>
    <w:bookmarkEnd w:id="153"/>
    <w:p>
      <w:pPr>
        <w:jc w:val="both"/>
        <w:ind w:left="968" w:hanging="647"/>
        <w:spacing w:after="0" w:line="266" w:lineRule="auto"/>
        <w:tabs>
          <w:tab w:leader="none" w:pos="948"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Company level targets: one or more of the following measurable components: net profit, EBITDA, operational profit, profit before tax, sale, strategic partnership, strategic contracts, revenues, return on capital, increase in profitability or sales compared to previous years or primary performance parameters.</w:t>
      </w:r>
    </w:p>
    <w:p>
      <w:pPr>
        <w:spacing w:after="0" w:line="176" w:lineRule="exact"/>
        <w:rPr>
          <w:sz w:val="20"/>
          <w:szCs w:val="20"/>
          <w:color w:val="auto"/>
        </w:rPr>
      </w:pPr>
    </w:p>
    <w:p>
      <w:pPr>
        <w:ind w:left="328" w:hanging="328"/>
        <w:spacing w:after="0"/>
        <w:tabs>
          <w:tab w:leader="none" w:pos="32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Determining the targets</w:t>
      </w:r>
    </w:p>
    <w:p>
      <w:pPr>
        <w:spacing w:after="0" w:line="225"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organs who are authorized to determine the measurable targets, for which a bonus is paid in a certain year, are as follows: for a Director – the General Meeting (excluding the exceptions detailed below); for the Company CEO – the Remuneration Committee and the Board of Directors; for the other officers – the Company CEO or the Remuneration Committee or the Board of Directors.</w:t>
      </w:r>
    </w:p>
    <w:p>
      <w:pPr>
        <w:spacing w:after="0" w:line="175"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if all the terms enumerated in section (a) or (b) below are met, the targets for which a bonus is paid to a director in a certain year shall be determined by the Remuneration Committee and the Board of Directors (not the General Meeting):</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7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Remuneration Committee and the Board of Directors regarding the determination of the targets is in accordance with the Remuneration Policy; the targets will be measurable targets only; the scope of the potential bonus to be awarded on the basis of such targets shall not exceed three (3) salaries; the targets were determined in advance by the Remuneration Committee and the Board of Directors.</w:t>
      </w:r>
    </w:p>
    <w:p>
      <w:pPr>
        <w:spacing w:after="0" w:line="175" w:lineRule="exact"/>
        <w:rPr>
          <w:rFonts w:ascii="Times New Roman" w:cs="Times New Roman" w:eastAsia="Times New Roman" w:hAnsi="Times New Roman"/>
          <w:sz w:val="18"/>
          <w:szCs w:val="18"/>
          <w:color w:val="auto"/>
        </w:rPr>
      </w:pPr>
    </w:p>
    <w:p>
      <w:pPr>
        <w:jc w:val="both"/>
        <w:ind w:left="328" w:hanging="4"/>
        <w:spacing w:after="0" w:line="258" w:lineRule="auto"/>
        <w:tabs>
          <w:tab w:leader="none" w:pos="58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Remuneration Committee and the Board of Directors regarding the determination of the targets is in accordance with the Remuneration Policy; the officer in regard to which said targets are determined is an officer, who in addition to serving as a director also serves in an operative or managerial position in the Company; the approval of said targets by the Remuneration Committee and the Board of Directors was adopted without participation of the directors who receive target-based remuneration from the Company (whether as directors or as other officers of the Company).</w:t>
      </w:r>
    </w:p>
    <w:p>
      <w:pPr>
        <w:spacing w:after="0" w:line="183"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The Company organs, who are authorized to approve bonuses based on unmeasurable criteria, are as follows: for a director – the General Meeting; for the Company CEO (who is not a director) – the Remuneration Committee and the Board of Directors; for the other officers – the Company CEO and the Remuneration Committee. If the officer is a controlling shareholder of the Company or a relative of such, as defined in the Law, further approvals are required under law.</w:t>
      </w:r>
    </w:p>
    <w:p>
      <w:pPr>
        <w:spacing w:after="0" w:line="18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By approving the Remuneration Policy, the meeting hereby authorizes the organs above to determine the targets.</w:t>
      </w:r>
    </w:p>
    <w:p>
      <w:pPr>
        <w:spacing w:after="0" w:line="223" w:lineRule="exact"/>
        <w:rPr>
          <w:sz w:val="20"/>
          <w:szCs w:val="20"/>
          <w:color w:val="auto"/>
        </w:rPr>
      </w:pPr>
    </w:p>
    <w:p>
      <w:pPr>
        <w:jc w:val="both"/>
        <w:ind w:left="328"/>
        <w:spacing w:after="0" w:line="257" w:lineRule="auto"/>
        <w:rPr>
          <w:sz w:val="20"/>
          <w:szCs w:val="20"/>
          <w:color w:val="auto"/>
        </w:rPr>
      </w:pPr>
      <w:r>
        <w:rPr>
          <w:rFonts w:ascii="Times New Roman" w:cs="Times New Roman" w:eastAsia="Times New Roman" w:hAnsi="Times New Roman"/>
          <w:sz w:val="18"/>
          <w:szCs w:val="18"/>
          <w:color w:val="auto"/>
        </w:rPr>
        <w:t xml:space="preserve">In addition to the targets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se, the relevant, authorized organ will also determine guidelines or a numerical formula for calculating entitlement to the bonus, according to compliance with the defined targets, such as a minimal threshold for entitlement and relative entitlement. In lack of any other definition, calculating the rate of the target bonus that an officer is entitled to, will be done in a linear manner, so that the officer will be entitled to the relative part of the annual bonus or the relative part for each bonus separately, as determined for that officer according to the percentage of his compliance with targets (for example: complying with 80% of the targets (or a certain target), entitles the officer to 80% of the target bonus determined for fully complying with targets (or the relevant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265430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154" w:name="page155"/>
    <w:bookmarkEnd w:id="154"/>
    <w:p>
      <w:pPr>
        <w:ind w:left="328" w:hanging="328"/>
        <w:spacing w:after="0"/>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Qualitative Targets</w:t>
      </w:r>
    </w:p>
    <w:p>
      <w:pPr>
        <w:spacing w:after="0" w:line="225"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Evaluating performances, will be done as customary in the Company as part of employee evaluations and will also refer to non-financial criteria. The evaluation will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refer to the officer’s long-term contribution and long-term performances.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Threshold conditions for entitlement to an Annual Bonus</w:t>
      </w:r>
    </w:p>
    <w:p>
      <w:pPr>
        <w:spacing w:after="0" w:line="225"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determine one or more threshold conditions, whereas not complying with them will prevent payment of an annual bonus based on measurable targets, yet in these cases, the Remuneration Committee can decide, for reasons to be stated, to pay the said bonus,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considering events or circumstances that occurred and justify payment as said.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of Annual Bonus</w:t>
      </w:r>
    </w:p>
    <w:p>
      <w:pPr>
        <w:spacing w:after="0" w:line="225"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maximal, annual bonus for Company officers is as follows:</w:t>
            </w:r>
          </w:p>
        </w:tc>
        <w:tc>
          <w:tcPr>
            <w:tcW w:w="3300" w:type="dxa"/>
            <w:vAlign w:val="bottom"/>
          </w:tcPr>
          <w:p>
            <w:pPr>
              <w:spacing w:after="0"/>
              <w:rPr>
                <w:sz w:val="20"/>
                <w:szCs w:val="20"/>
                <w:color w:val="auto"/>
              </w:rPr>
            </w:pPr>
          </w:p>
        </w:tc>
      </w:tr>
      <w:tr>
        <w:trPr>
          <w:trHeight w:val="432"/>
        </w:trPr>
        <w:tc>
          <w:tcPr>
            <w:tcW w:w="1600" w:type="dxa"/>
            <w:vAlign w:val="bottom"/>
          </w:tcPr>
          <w:p>
            <w:pPr>
              <w:spacing w:after="0"/>
              <w:rPr>
                <w:sz w:val="24"/>
                <w:szCs w:val="24"/>
                <w:color w:val="auto"/>
              </w:rPr>
            </w:pPr>
          </w:p>
        </w:tc>
        <w:tc>
          <w:tcPr>
            <w:tcW w:w="34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Maximal, annual bonus</w:t>
            </w:r>
          </w:p>
        </w:tc>
      </w:tr>
      <w:tr>
        <w:trPr>
          <w:trHeight w:val="191"/>
        </w:trPr>
        <w:tc>
          <w:tcPr>
            <w:tcW w:w="1600" w:type="dxa"/>
            <w:vAlign w:val="bottom"/>
          </w:tcPr>
          <w:p>
            <w:pPr>
              <w:spacing w:after="0"/>
              <w:rPr>
                <w:sz w:val="16"/>
                <w:szCs w:val="16"/>
                <w:color w:val="auto"/>
              </w:rPr>
            </w:pPr>
          </w:p>
        </w:tc>
        <w:tc>
          <w:tcPr>
            <w:tcW w:w="3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CEO</w:t>
            </w:r>
          </w:p>
        </w:tc>
        <w:tc>
          <w:tcPr>
            <w:tcW w:w="1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 times the Base Salary</w:t>
            </w:r>
          </w:p>
        </w:tc>
      </w:tr>
      <w:tr>
        <w:trPr>
          <w:trHeight w:val="216"/>
        </w:trPr>
        <w:tc>
          <w:tcPr>
            <w:tcW w:w="50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Active Board Chairperson</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times the Base Salary</w:t>
            </w:r>
          </w:p>
        </w:tc>
      </w:tr>
      <w:tr>
        <w:trPr>
          <w:trHeight w:val="216"/>
        </w:trPr>
        <w:tc>
          <w:tcPr>
            <w:tcW w:w="50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Other officers (excluduing directors but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times the Base Salary</w:t>
            </w:r>
          </w:p>
        </w:tc>
      </w:tr>
      <w:tr>
        <w:trPr>
          <w:trHeight w:val="216"/>
        </w:trPr>
        <w:tc>
          <w:tcPr>
            <w:tcW w:w="50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including directors who hold other positions</w:t>
            </w:r>
          </w:p>
        </w:tc>
        <w:tc>
          <w:tcPr>
            <w:tcW w:w="3300" w:type="dxa"/>
            <w:vAlign w:val="bottom"/>
          </w:tcPr>
          <w:p>
            <w:pPr>
              <w:spacing w:after="0"/>
              <w:rPr>
                <w:sz w:val="18"/>
                <w:szCs w:val="18"/>
                <w:color w:val="auto"/>
              </w:rPr>
            </w:pPr>
          </w:p>
        </w:tc>
      </w:tr>
      <w:tr>
        <w:trPr>
          <w:trHeight w:val="234"/>
        </w:trPr>
        <w:tc>
          <w:tcPr>
            <w:tcW w:w="50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in the Company)</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ind w:left="328" w:hanging="328"/>
        <w:spacing w:after="0"/>
        <w:tabs>
          <w:tab w:leader="none" w:pos="3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for paying the bonus</w:t>
      </w:r>
    </w:p>
    <w:p>
      <w:pPr>
        <w:spacing w:after="0" w:line="225" w:lineRule="exact"/>
        <w:rPr>
          <w:rFonts w:ascii="Times New Roman" w:cs="Times New Roman" w:eastAsia="Times New Roman" w:hAnsi="Times New Roman"/>
          <w:sz w:val="18"/>
          <w:szCs w:val="18"/>
          <w:color w:val="auto"/>
        </w:rPr>
      </w:pPr>
    </w:p>
    <w:p>
      <w:pPr>
        <w:ind w:left="968"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26.1The annual bonus will be paid to officers once a year, after receiving the certificates required according to the law and shortly after the submitting the Company’s audited financial statements for the relevant year.</w:t>
      </w:r>
    </w:p>
    <w:p>
      <w:pPr>
        <w:spacing w:after="0" w:line="161" w:lineRule="exact"/>
        <w:rPr>
          <w:rFonts w:ascii="Times New Roman" w:cs="Times New Roman" w:eastAsia="Times New Roman" w:hAnsi="Times New Roman"/>
          <w:sz w:val="18"/>
          <w:szCs w:val="18"/>
          <w:color w:val="auto"/>
        </w:rPr>
      </w:pPr>
    </w:p>
    <w:p>
      <w:pPr>
        <w:ind w:left="968"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26.2The Company is entitled to approve advancing the annual bonus or payment on account of the annual bonus, as the Remuneration Committee deems right. If an officer will be paid any excess payments on account of the annual bonus, such payments will be considered an agreed and specific debt by the officer to the Company and the Company will be entitled to deduct and offset the said debt from the officer’s salary and/or any other payment that the Company is required to pay the officer.</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one-time events</w:t>
      </w:r>
    </w:p>
    <w:p>
      <w:pPr>
        <w:spacing w:after="0" w:line="225"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calculating the bonuses (including the entitlement to bonuses) the Remuneration Committee and the Board of Directors may (but are not obligated to) discount from the Company’s financial outcomes nonrecurring events, whether such discount will increase the bonus or establish an entitlement for the bonus, or whether such discount will decrease the bonus or following which there will be no entitlement to a bonus, according to the nature of the event and its impact, as detailed below:</w:t>
      </w:r>
    </w:p>
    <w:p>
      <w:pPr>
        <w:spacing w:after="0" w:line="179" w:lineRule="exact"/>
        <w:rPr>
          <w:rFonts w:ascii="Times New Roman" w:cs="Times New Roman" w:eastAsia="Times New Roman" w:hAnsi="Times New Roman"/>
          <w:sz w:val="18"/>
          <w:szCs w:val="18"/>
          <w:color w:val="auto"/>
        </w:rPr>
      </w:pPr>
    </w:p>
    <w:p>
      <w:pPr>
        <w:ind w:left="968"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w:t>
      </w:r>
      <w:r>
        <w:rPr>
          <w:rFonts w:ascii="Times New Roman" w:cs="Times New Roman" w:eastAsia="Times New Roman" w:hAnsi="Times New Roman"/>
          <w:sz w:val="18"/>
          <w:szCs w:val="18"/>
          <w:u w:val="single" w:color="auto"/>
          <w:color w:val="auto"/>
        </w:rPr>
        <w:t>Business related changes</w:t>
      </w:r>
      <w:r>
        <w:rPr>
          <w:rFonts w:ascii="Times New Roman" w:cs="Times New Roman" w:eastAsia="Times New Roman" w:hAnsi="Times New Roman"/>
          <w:sz w:val="18"/>
          <w:szCs w:val="18"/>
          <w:color w:val="auto"/>
        </w:rPr>
        <w:t>: nonrecurring transactions that are not part of the ordinary course of business, whether or not such were taken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into consideration when determining the Company’s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251460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155" w:name="page156"/>
    <w:bookmarkEnd w:id="155"/>
    <w:p>
      <w:pPr>
        <w:jc w:val="both"/>
        <w:ind w:left="968" w:hanging="647"/>
        <w:spacing w:after="0" w:line="256" w:lineRule="auto"/>
        <w:tabs>
          <w:tab w:leader="none" w:pos="948"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u w:val="single" w:color="auto"/>
          <w:color w:val="auto"/>
        </w:rPr>
        <w:t>Accounting related changes</w:t>
      </w:r>
      <w:r>
        <w:rPr>
          <w:rFonts w:ascii="Times New Roman" w:cs="Times New Roman" w:eastAsia="Times New Roman" w:hAnsi="Times New Roman"/>
          <w:sz w:val="18"/>
          <w:szCs w:val="18"/>
          <w:color w:val="auto"/>
        </w:rPr>
        <w:t>: changes in accounting standards during the year or in the interpretation of their application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accounting authorities or the Securities Authority, early adoption of accounting standards, change in the implementation of accounting policies, change in accounting classification, material estimate change, an event that requires restatement of previous period comparative data which has a significant impact on the outcomes of the reporting period, etc. For the avoidance of any doubt, an accounting related change that affects comparative data of previous periods does not affect the remuneration that was actually granted in the years preceding the adoption of said change.</w:t>
      </w:r>
    </w:p>
    <w:p>
      <w:pPr>
        <w:spacing w:after="0" w:line="187" w:lineRule="exact"/>
        <w:rPr>
          <w:sz w:val="20"/>
          <w:szCs w:val="20"/>
          <w:color w:val="auto"/>
        </w:rPr>
      </w:pPr>
    </w:p>
    <w:p>
      <w:pPr>
        <w:jc w:val="both"/>
        <w:ind w:left="968" w:hanging="647"/>
        <w:spacing w:after="0" w:line="266" w:lineRule="auto"/>
        <w:tabs>
          <w:tab w:leader="none" w:pos="948"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u w:val="single" w:color="auto"/>
          <w:color w:val="auto"/>
        </w:rPr>
        <w:t>Tax related changes</w:t>
      </w:r>
      <w:r>
        <w:rPr>
          <w:rFonts w:ascii="Times New Roman" w:cs="Times New Roman" w:eastAsia="Times New Roman" w:hAnsi="Times New Roman"/>
          <w:sz w:val="18"/>
          <w:szCs w:val="18"/>
          <w:color w:val="auto"/>
        </w:rPr>
        <w:t>: changes in tax rates, changes in legislation, regulations, or the position of the tax authorities in Israel, or a settlement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or ruling from the tax authorities, resulting in significant changes in tax expenses or tax payments, changes in tax expenses or tax payments for previous years whether by agreement or following a court order, etc.</w:t>
      </w:r>
    </w:p>
    <w:p>
      <w:pPr>
        <w:spacing w:after="0" w:line="176" w:lineRule="exact"/>
        <w:rPr>
          <w:sz w:val="20"/>
          <w:szCs w:val="20"/>
          <w:color w:val="auto"/>
        </w:rPr>
      </w:pPr>
    </w:p>
    <w:p>
      <w:pPr>
        <w:jc w:val="both"/>
        <w:ind w:left="968" w:hanging="647"/>
        <w:spacing w:after="0" w:line="282" w:lineRule="auto"/>
        <w:tabs>
          <w:tab w:leader="none" w:pos="948"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8"/>
          <w:szCs w:val="18"/>
          <w:u w:val="single" w:color="auto"/>
          <w:color w:val="auto"/>
        </w:rPr>
        <w:t>Force Majeure events</w:t>
      </w:r>
      <w:r>
        <w:rPr>
          <w:rFonts w:ascii="Times New Roman" w:cs="Times New Roman" w:eastAsia="Times New Roman" w:hAnsi="Times New Roman"/>
          <w:sz w:val="18"/>
          <w:szCs w:val="18"/>
          <w:color w:val="auto"/>
        </w:rPr>
        <w:t>: force majeure events or a general state of emergency or an assault against the Company and its systems (including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cyber-attack), etc.</w:t>
      </w:r>
    </w:p>
    <w:p>
      <w:pPr>
        <w:spacing w:after="0" w:line="162" w:lineRule="exact"/>
        <w:rPr>
          <w:sz w:val="20"/>
          <w:szCs w:val="20"/>
          <w:color w:val="auto"/>
        </w:rPr>
      </w:pPr>
    </w:p>
    <w:p>
      <w:pPr>
        <w:jc w:val="both"/>
        <w:ind w:left="968" w:hanging="647"/>
        <w:spacing w:after="0" w:line="261" w:lineRule="auto"/>
        <w:tabs>
          <w:tab w:leader="none" w:pos="948"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8"/>
          <w:szCs w:val="18"/>
          <w:color w:val="auto"/>
        </w:rPr>
        <w:t>In extraordinary events, the Company’s Board of Directors will have discretion in cases that the Company materially amended its work plan or strategy during a certain year, to apply adjustments for any target bonus determined for a certain year, whether referring to an increase or decrease in the target bonus. Nonetheless, when an officer or CEO is a controlling party or relative thereof as defined in the Law, additional approvals will be required according to the law.</w:t>
      </w:r>
    </w:p>
    <w:p>
      <w:pPr>
        <w:spacing w:after="0" w:line="180" w:lineRule="exact"/>
        <w:rPr>
          <w:sz w:val="20"/>
          <w:szCs w:val="20"/>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Bonus</w:t>
      </w:r>
    </w:p>
    <w:p>
      <w:pPr>
        <w:spacing w:after="0" w:line="225"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decided to exclude any one-time bonus given for issuance of the Company on the Tel Aviv Stock Exchange from this Remuneration Policy. The total one-time bonuses for this event, for each of the Company’s officers and/or acting director, will not exceed four (4) times the actual Base Salary of the relevant officer.</w:t>
      </w:r>
    </w:p>
    <w:p>
      <w:pPr>
        <w:spacing w:after="0" w:line="175"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if the Company completes an issuance or registers for trade on a foreign stock change, the relevant authorized organ may decide to grant a special bonus payment to any of the officers (including the CEO), in an amount equal to no more than six (6) times the actual Base Salary of the relevant officer.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Entitlement of an employee that ended his office</w:t>
      </w:r>
    </w:p>
    <w:p>
      <w:pPr>
        <w:spacing w:after="0" w:line="225" w:lineRule="exact"/>
        <w:rPr>
          <w:rFonts w:ascii="Times New Roman" w:cs="Times New Roman" w:eastAsia="Times New Roman" w:hAnsi="Times New Roman"/>
          <w:sz w:val="18"/>
          <w:szCs w:val="18"/>
          <w:color w:val="auto"/>
        </w:rPr>
      </w:pPr>
    </w:p>
    <w:p>
      <w:pPr>
        <w:ind w:left="968"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28.1The annual bonus will be paid to officers who worked and/or provided the Company and/or an investee corporation with services at least 5 months before approving the financial statements of that year. Calculating the annual bonus for an officer as said, will be done relatively for the months in the calendar year for which that person is entitled to the bonus.</w:t>
      </w:r>
    </w:p>
    <w:p>
      <w:pPr>
        <w:spacing w:after="0" w:line="17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28.2An officer who resigned, will not be entitled to payment of a bonus for his year of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291465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156" w:name="page157"/>
    <w:bookmarkEnd w:id="156"/>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7"/>
          <w:szCs w:val="17"/>
          <w:color w:val="auto"/>
        </w:rPr>
        <w:t>An officer that was dismissed for circumstances that negate the right to severance pay, will not be entitled to payment of the bonus.</w:t>
      </w:r>
    </w:p>
    <w:p>
      <w:pPr>
        <w:spacing w:after="0" w:line="225" w:lineRule="exact"/>
        <w:rPr>
          <w:sz w:val="20"/>
          <w:szCs w:val="20"/>
          <w:color w:val="auto"/>
        </w:rPr>
      </w:pPr>
    </w:p>
    <w:p>
      <w:pPr>
        <w:ind w:left="1292" w:hanging="647"/>
        <w:spacing w:after="0" w:line="282" w:lineRule="auto"/>
        <w:tabs>
          <w:tab w:leader="none" w:pos="1272"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An officer dismissed during a calendar year, yet not for circumstances negating the right to severance pay, will be entitled to a relative bonus for the year of terminating his employment and the bonus will be paid relatively to his period of employment that year.</w:t>
      </w:r>
    </w:p>
    <w:p>
      <w:pPr>
        <w:spacing w:after="0" w:line="162" w:lineRule="exact"/>
        <w:rPr>
          <w:sz w:val="20"/>
          <w:szCs w:val="20"/>
          <w:color w:val="auto"/>
        </w:rPr>
      </w:pPr>
    </w:p>
    <w:p>
      <w:pPr>
        <w:jc w:val="both"/>
        <w:ind w:left="652" w:hanging="328"/>
        <w:spacing w:after="0" w:line="254" w:lineRule="auto"/>
        <w:tabs>
          <w:tab w:leader="none" w:pos="65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consolidated and audited financial statements will be amended and restated in a manner that had the annual bonus amount due to an officer for that year been calculated according to the amended details, the officer would have received a bonus in a different amount, the Company will pay the officer or the officer will return to the Company, as applicable, the difference between the amount of the bonus that the officer received and the amount due to the officer according to the said amendment, all within a period determined by the Board of Directors that will not exceed six (6) months (subject to the possibility of extending the period up to six (6) additional months if the amount of the return is higher than thirty percent (30%) of the officer’s annual, base salary), all provided that 12 quarters have not passed from the date of approving the bonus for the officer. It is clarified, that restatement of details in the financial statements resulting from revisions in the law, regulations or accounting principles, will not be considered as restatement requiring application of the said in this section.</w:t>
      </w:r>
    </w:p>
    <w:p>
      <w:pPr>
        <w:spacing w:after="0" w:line="19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in special cases, the Board of Directors is entitled to decrease the annual bonus, postpone payment, entirely or partially, or register a provision on account thereof in the financial statements and pay the bonus at a time determined by the Board.</w:t>
      </w:r>
    </w:p>
    <w:p>
      <w:pPr>
        <w:spacing w:after="0" w:line="15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One-time bonus</w:t>
      </w:r>
    </w:p>
    <w:p>
      <w:pPr>
        <w:spacing w:after="0" w:line="229" w:lineRule="exact"/>
        <w:rPr>
          <w:rFonts w:ascii="Times New Roman" w:cs="Times New Roman" w:eastAsia="Times New Roman" w:hAnsi="Times New Roman"/>
          <w:sz w:val="18"/>
          <w:szCs w:val="18"/>
          <w:b w:val="1"/>
          <w:bCs w:val="1"/>
          <w:color w:val="auto"/>
        </w:rPr>
      </w:pPr>
    </w:p>
    <w:p>
      <w:pPr>
        <w:ind w:left="652" w:right="20" w:hanging="328"/>
        <w:spacing w:after="0" w:line="282" w:lineRule="auto"/>
        <w:tabs>
          <w:tab w:leader="none" w:pos="6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approval of the Remuneration Committee, the Board of Directors is entitled to decide to grant a one-time bonus for a Company officer’s exceptional efforts or achievements (hereinafter: </w:t>
      </w:r>
      <w:r>
        <w:rPr>
          <w:rFonts w:ascii="Times New Roman" w:cs="Times New Roman" w:eastAsia="Times New Roman" w:hAnsi="Times New Roman"/>
          <w:sz w:val="18"/>
          <w:szCs w:val="18"/>
          <w:b w:val="1"/>
          <w:bCs w:val="1"/>
          <w:color w:val="auto"/>
        </w:rPr>
        <w:t>One-time Bonus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One-time Bonus will not exceed the sum equaling three (3) times the Base Salary of the relevant officer, yet if the One-time Bonus is awarded to the Company CEO for discretionary targets not determined in advance, the One-time Bonus, together with any other discretionary bonus awarded to the Company CEO that same year, will not exceed two (2) times the Base Salary. When the Company CEO or an officer is also a controlling party or a relative of a controlling party in the Company, additional approvals will be required according to the law.</w:t>
      </w:r>
    </w:p>
    <w:p>
      <w:pPr>
        <w:spacing w:after="0" w:line="179"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One-time Bonus is in addition to the limits stipulated in section 25‎ above.</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30‎ above will also apply to a One-time Bonus.</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52" w:hanging="328"/>
        <w:spacing w:after="0" w:line="256" w:lineRule="auto"/>
        <w:tabs>
          <w:tab w:leader="none" w:pos="6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law and as an incentive for officers to generate profits for the Company and reinforce the connection between the interests of Company officers and its shareholders, the Company’s Remuneration Committee and Board of Directors will be entitled to decide to grant its officers restricted shares, options for shares, “phantom” shares (options that settling them can be done in cash), non-recourse loans and guarantees for loans for purpose of purchasing Company shares, all according to the long term remuneration plan to be formulated and adopted by the Company institutions, from time to time. As of the date of approving this Remuneration Policy, the Company has an employee and officers option plan that was approved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57" w:name="page158"/>
    <w:bookmarkEnd w:id="157"/>
    <w:p>
      <w:pPr>
        <w:jc w:val="both"/>
        <w:ind w:left="652" w:hanging="328"/>
        <w:spacing w:after="0" w:line="256"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will be as determined by the Board of Directors for every offeree and as specified in the relevant allotment agreement and if relevant for an offeree – according to principles of the Remuneration Policy, provided that if not determined otherwise, the price of exercising the options to offerees who are officers in the Company, will not be less than the share price on the date of the decision of the Board of Directors regarding the grant and in any case will not be less than the average price of a Company share on the Stock Exchange during thirty (30) trading days preceding the date of the Board’s decision approving granting the equity based compensation to the offeree. Unless determined otherwise by the Company’s Board of Directors, the exercise price will be adjusted as a result of a dividend distribution.</w:t>
      </w:r>
    </w:p>
    <w:p>
      <w:pPr>
        <w:spacing w:after="0" w:line="187"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options, exercising might be done by way of cashless exercise, cash or a combination of the two, as determined by the Board of Directors.</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annual grant at the time of granting the options (and in relation to equity based remuneration made in cash, such as “phantom” shares – the payment date) will not exceed:</w:t>
      </w:r>
    </w:p>
    <w:p>
      <w:pPr>
        <w:spacing w:after="0" w:line="158" w:lineRule="exact"/>
        <w:rPr>
          <w:sz w:val="20"/>
          <w:szCs w:val="20"/>
          <w:color w:val="auto"/>
        </w:rPr>
      </w:pPr>
    </w:p>
    <w:tbl>
      <w:tblPr>
        <w:tblLayout w:type="fixed"/>
        <w:tblInd w:w="225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annual benefit value</w:t>
            </w:r>
          </w:p>
        </w:tc>
      </w:tr>
      <w:tr>
        <w:trPr>
          <w:trHeight w:val="191"/>
        </w:trPr>
        <w:tc>
          <w:tcPr>
            <w:tcW w:w="20" w:type="dxa"/>
            <w:vAlign w:val="bottom"/>
          </w:tcPr>
          <w:p>
            <w:pPr>
              <w:spacing w:after="0"/>
              <w:rPr>
                <w:sz w:val="16"/>
                <w:szCs w:val="16"/>
                <w:color w:val="auto"/>
              </w:rPr>
            </w:pPr>
          </w:p>
        </w:tc>
        <w:tc>
          <w:tcPr>
            <w:tcW w:w="3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CEO</w:t>
            </w:r>
          </w:p>
        </w:tc>
        <w:tc>
          <w:tcPr>
            <w:tcW w:w="1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 times the Base Salary</w:t>
            </w:r>
          </w:p>
        </w:tc>
      </w:tr>
      <w:tr>
        <w:trPr>
          <w:trHeight w:val="220"/>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Active Board Chairperson / active directors</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times the Base Salary</w:t>
            </w:r>
          </w:p>
        </w:tc>
      </w:tr>
      <w:tr>
        <w:trPr>
          <w:trHeight w:val="253"/>
        </w:trPr>
        <w:tc>
          <w:tcPr>
            <w:tcW w:w="3440" w:type="dxa"/>
            <w:vAlign w:val="bottom"/>
            <w:gridSpan w:val="3"/>
          </w:tcPr>
          <w:p>
            <w:pPr>
              <w:spacing w:after="0" w:line="252" w:lineRule="exact"/>
              <w:rPr>
                <w:sz w:val="20"/>
                <w:szCs w:val="20"/>
                <w:color w:val="auto"/>
              </w:rPr>
            </w:pPr>
            <w:r>
              <w:rPr>
                <w:rFonts w:ascii="Times New Roman" w:cs="Times New Roman" w:eastAsia="Times New Roman" w:hAnsi="Times New Roman"/>
                <w:sz w:val="18"/>
                <w:szCs w:val="18"/>
                <w:color w:val="auto"/>
              </w:rPr>
              <w:t>who provide services to the Company</w:t>
            </w:r>
            <w:r>
              <w:rPr>
                <w:rFonts w:ascii="Times New Roman" w:cs="Times New Roman" w:eastAsia="Times New Roman" w:hAnsi="Times New Roman"/>
                <w:sz w:val="29"/>
                <w:szCs w:val="29"/>
                <w:color w:val="auto"/>
                <w:vertAlign w:val="superscript"/>
              </w:rPr>
              <w:t>4</w:t>
            </w:r>
          </w:p>
        </w:tc>
        <w:tc>
          <w:tcPr>
            <w:tcW w:w="3300" w:type="dxa"/>
            <w:vAlign w:val="bottom"/>
          </w:tcPr>
          <w:p>
            <w:pPr>
              <w:spacing w:after="0"/>
              <w:rPr>
                <w:sz w:val="21"/>
                <w:szCs w:val="21"/>
                <w:color w:val="auto"/>
              </w:rPr>
            </w:pP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officers (excluduing directors but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times the Base Salary</w:t>
            </w: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including directors who hold other positions</w:t>
            </w:r>
          </w:p>
        </w:tc>
        <w:tc>
          <w:tcPr>
            <w:tcW w:w="3300" w:type="dxa"/>
            <w:vAlign w:val="bottom"/>
          </w:tcPr>
          <w:p>
            <w:pPr>
              <w:spacing w:after="0"/>
              <w:rPr>
                <w:sz w:val="18"/>
                <w:szCs w:val="18"/>
                <w:color w:val="auto"/>
              </w:rPr>
            </w:pPr>
          </w:p>
        </w:tc>
      </w:tr>
      <w:tr>
        <w:trPr>
          <w:trHeight w:val="234"/>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Company)</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Calculating the value of the annual bonus will be done based on linear division over the vesting period and not based on registering an accounting expense (meaning – the economic value at the time of the grant, divided by the number of vesting years).</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The aforesaid in this section shall not apply to an equity based remuneration to a director, except for an active chairman of the board and except for a director who provides services to the company.</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With regard to equity grants to directors, who are not engaged by the Company in other position, the value of the grant, upon its issuance date, shall be limited according to section 53 hereinafter.</w:t>
      </w:r>
    </w:p>
    <w:p>
      <w:pPr>
        <w:spacing w:after="0" w:line="162" w:lineRule="exact"/>
        <w:rPr>
          <w:sz w:val="20"/>
          <w:szCs w:val="20"/>
          <w:color w:val="auto"/>
        </w:rPr>
      </w:pPr>
    </w:p>
    <w:p>
      <w:pPr>
        <w:jc w:val="both"/>
        <w:ind w:left="652" w:hanging="328"/>
        <w:spacing w:after="0" w:line="266" w:lineRule="auto"/>
        <w:tabs>
          <w:tab w:leader="none" w:pos="6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of Directors determined otherwise in regard to a certain offeree or a certain bonus (a determination that will not be subject to the approval of shareholders, unless the said approval is required according to the applicable law) and a provision as said was included in the relevant allotment agreement, then the securities will vest (becoming exercisable) along a period of at least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830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3" w:lineRule="exact"/>
        <w:rPr>
          <w:sz w:val="20"/>
          <w:szCs w:val="20"/>
          <w:color w:val="auto"/>
        </w:rPr>
      </w:pPr>
    </w:p>
    <w:p>
      <w:pPr>
        <w:ind w:left="112" w:hanging="112"/>
        <w:spacing w:after="0"/>
        <w:tabs>
          <w:tab w:leader="none" w:pos="112" w:val="left"/>
        </w:tabs>
        <w:numPr>
          <w:ilvl w:val="0"/>
          <w:numId w:val="1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aforementioned shall not apply to the current terms of office of the Board Chairperson, Mr. Shmuel Donnerstein.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58" w:name="page159"/>
    <w:bookmarkEnd w:id="158"/>
    <w:p>
      <w:pPr>
        <w:jc w:val="both"/>
        <w:ind w:left="652" w:hanging="328"/>
        <w:spacing w:after="0" w:line="261" w:lineRule="auto"/>
        <w:tabs>
          <w:tab w:leader="none" w:pos="65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be entitled to determine that in case of merging the Company (a merger of the Company with another or into another corporation or selling all or most of the Company assets or shares) or a change in control of the Company or a material investment event in the Company (an investment being “material” will be determined by the Company’s Board of Directors) or selling or granting an exclusive license for most of the Company’s intellectual property, an acceleration of all or part of the remaining securities yet to be vested will be done.</w:t>
      </w:r>
    </w:p>
    <w:p>
      <w:pPr>
        <w:spacing w:after="0" w:line="179"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65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exercising each vested security will be up to 10 years from the date of granting it (or a shorter period as determined by the Company organs).</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Committee will be entitled to condition vesting of securities, all or part thereof, by achieving additional targets determined on the allotment date and to also determine conditions for depriving securities yet to be vested from an officer.</w:t>
      </w:r>
    </w:p>
    <w:p>
      <w:pPr>
        <w:spacing w:after="0" w:line="161"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65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allotment will be subject to receiving the approval of the Stock Exchange and complying with the conditions determined in the Stock Exchange regulations and guidelines, including in regard to a minimal share price.</w:t>
      </w:r>
    </w:p>
    <w:p>
      <w:pPr>
        <w:spacing w:after="0" w:line="15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Ending office</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line="282" w:lineRule="auto"/>
        <w:tabs>
          <w:tab w:leader="none" w:pos="6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officers will be entitled to release of funds accumulated in their favor and their name in designated provident funds for pension and severance pay.</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officers engaged in employee-employer relations, will be entitled to severance pay according to the requirements of the Severance Pay Law.</w:t>
      </w:r>
    </w:p>
    <w:p>
      <w:pPr>
        <w:spacing w:after="0" w:line="161"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6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officers will be entitled to an advanced notice period and adjustment bonus in terms of salary upon ending their employment (if ending their employment is not under circumstances depriving their entitlement to severance pay) as described in the following table:</w:t>
      </w:r>
    </w:p>
    <w:p>
      <w:pPr>
        <w:spacing w:after="0" w:line="374" w:lineRule="exact"/>
        <w:rPr>
          <w:sz w:val="20"/>
          <w:szCs w:val="20"/>
          <w:color w:val="auto"/>
        </w:rPr>
      </w:pPr>
    </w:p>
    <w:tbl>
      <w:tblPr>
        <w:tblLayout w:type="fixed"/>
        <w:tblInd w:w="2252"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Maximal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Maximal</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advanced notice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period (in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(in</w:t>
            </w:r>
          </w:p>
        </w:tc>
        <w:tc>
          <w:tcPr>
            <w:tcW w:w="0" w:type="dxa"/>
            <w:vAlign w:val="bottom"/>
          </w:tcPr>
          <w:p>
            <w:pPr>
              <w:spacing w:after="0"/>
              <w:rPr>
                <w:sz w:val="1"/>
                <w:szCs w:val="1"/>
                <w:color w:val="auto"/>
              </w:rPr>
            </w:pPr>
          </w:p>
        </w:tc>
      </w:tr>
      <w:tr>
        <w:trPr>
          <w:trHeight w:val="238"/>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 CEO</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191"/>
        </w:trPr>
        <w:tc>
          <w:tcPr>
            <w:tcW w:w="3920" w:type="dxa"/>
            <w:vAlign w:val="bottom"/>
            <w:vMerge w:val="continue"/>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officers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Active Board Chairperson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Company’s Board of Directors will have the option of shortening the advanced notice period.</w:t>
      </w:r>
    </w:p>
    <w:p>
      <w:pPr>
        <w:spacing w:after="0" w:line="225" w:lineRule="exact"/>
        <w:rPr>
          <w:sz w:val="20"/>
          <w:szCs w:val="20"/>
          <w:color w:val="auto"/>
        </w:rPr>
      </w:pPr>
    </w:p>
    <w:p>
      <w:pPr>
        <w:jc w:val="both"/>
        <w:ind w:left="652"/>
        <w:spacing w:after="0" w:line="255" w:lineRule="auto"/>
        <w:rPr>
          <w:sz w:val="20"/>
          <w:szCs w:val="20"/>
          <w:color w:val="auto"/>
        </w:rPr>
      </w:pPr>
      <w:r>
        <w:rPr>
          <w:rFonts w:ascii="Times New Roman" w:cs="Times New Roman" w:eastAsia="Times New Roman" w:hAnsi="Times New Roman"/>
          <w:sz w:val="18"/>
          <w:szCs w:val="18"/>
          <w:color w:val="auto"/>
        </w:rPr>
        <w:t>During the advanced notice period, an officer is required to continue to actually be employed by the Company. During the advanced notice period, the employee-employer relations between the Company and the officer will continue to apply and therefore, the officer will be entitled to all remuneration components, including the annual bonus that the officer will be entitled to if he continues to actually be employed by the Company, proportionally to the period of actually working that year. Notwithstanding the said, the Company’s Board of Directors will be entitled to waive an officer’s work during the advanced notice period, entirely or partially, provided that the Company or an investee company, as applicable, will continue to pay the remuneration and accessory conditions due to the officer according to the agreement with the officer for the entire advanced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59" w:name="page160"/>
    <w:bookmarkEnd w:id="159"/>
    <w:p>
      <w:pPr>
        <w:ind w:left="332" w:hanging="332"/>
        <w:spacing w:after="0"/>
        <w:tabs>
          <w:tab w:leader="none" w:pos="33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 exemption and insuring the liability of officers</w:t>
      </w:r>
    </w:p>
    <w:p>
      <w:pPr>
        <w:spacing w:after="0" w:line="229" w:lineRule="exact"/>
        <w:rPr>
          <w:rFonts w:ascii="Times New Roman" w:cs="Times New Roman" w:eastAsia="Times New Roman" w:hAnsi="Times New Roman"/>
          <w:sz w:val="18"/>
          <w:szCs w:val="18"/>
          <w:b w:val="1"/>
          <w:bCs w:val="1"/>
          <w:color w:val="auto"/>
        </w:rPr>
      </w:pPr>
    </w:p>
    <w:p>
      <w:pPr>
        <w:ind w:left="652" w:right="20" w:hanging="328"/>
        <w:spacing w:after="0" w:line="282" w:lineRule="auto"/>
        <w:tabs>
          <w:tab w:leader="none" w:pos="65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officers and directors will be entitled to officers’ liability insurance and exemption and indemnity letters according to the provisions of the law, as approved by the Company and provided (if provided) from time to time.</w:t>
      </w:r>
    </w:p>
    <w:p>
      <w:pPr>
        <w:spacing w:after="0" w:line="161"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terms of directors and officers liability insurance will be:</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48.1The liability limit will not exceed 25 million USD per event and per annual insurance period, plus additional expenses.</w:t>
      </w:r>
    </w:p>
    <w:p>
      <w:pPr>
        <w:spacing w:after="0" w:line="225" w:lineRule="exact"/>
        <w:rPr>
          <w:rFonts w:ascii="Times New Roman" w:cs="Times New Roman" w:eastAsia="Times New Roman" w:hAnsi="Times New Roman"/>
          <w:sz w:val="18"/>
          <w:szCs w:val="18"/>
          <w:color w:val="auto"/>
        </w:rPr>
      </w:pPr>
    </w:p>
    <w:p>
      <w:pPr>
        <w:ind w:left="1292"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48.2The premium and deductibles will be according to the market conditions for that year as valid at the time of preparing the insurance policy and the cost will not be material to the Company. The Company will consult with its external insurance consultants to establish the market conditions as said.</w:t>
      </w:r>
    </w:p>
    <w:p>
      <w:pPr>
        <w:spacing w:after="0" w:line="175" w:lineRule="exact"/>
        <w:rPr>
          <w:rFonts w:ascii="Times New Roman" w:cs="Times New Roman" w:eastAsia="Times New Roman" w:hAnsi="Times New Roman"/>
          <w:sz w:val="18"/>
          <w:szCs w:val="18"/>
          <w:color w:val="auto"/>
        </w:rPr>
      </w:pPr>
    </w:p>
    <w:p>
      <w:pPr>
        <w:jc w:val="both"/>
        <w:ind w:left="652" w:hanging="328"/>
        <w:spacing w:after="0" w:line="258" w:lineRule="auto"/>
        <w:tabs>
          <w:tab w:leader="none" w:pos="65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liability insurance (run-off) – the Company will be entitled to purchase a run-off directors and officers liability insurance policy for directors and officers that served in regard to the relevant activity, subject to the following conditions: (a) the insurance period will not exceed 7 years, (b) the liability limit will not exceed 25 million USD and the minimum will be the liability limit of the previous policy, (c) the cost of premium and deductibles will be according to market conditions at the time of preparing the insurance policy and the cost will not be material to the Company. The Company will consult with its external insurance consultants to establish the market conditions.</w:t>
      </w:r>
    </w:p>
    <w:p>
      <w:pPr>
        <w:spacing w:after="0" w:line="183"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of any officers insurance policy as said or renewal thereof during the validity of this Remuneration Policy, will not require any additional approval by Company shareholders, provided that the Remuneration Policy was approved by the Company’s General Meeting and that the Company’s Remuneration Committee confirmed that the purchased policies comply with the above terms, are in accordance with market conditions and cannot materially affect the Company’s profitability, property or liabilities.</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remuneration</w:t>
      </w:r>
    </w:p>
    <w:p>
      <w:pPr>
        <w:spacing w:after="0" w:line="229" w:lineRule="exact"/>
        <w:rPr>
          <w:rFonts w:ascii="Times New Roman" w:cs="Times New Roman" w:eastAsia="Times New Roman" w:hAnsi="Times New Roman"/>
          <w:sz w:val="18"/>
          <w:szCs w:val="18"/>
          <w:b w:val="1"/>
          <w:bCs w:val="1"/>
          <w:color w:val="auto"/>
        </w:rPr>
      </w:pPr>
    </w:p>
    <w:p>
      <w:pPr>
        <w:jc w:val="both"/>
        <w:ind w:left="652" w:hanging="328"/>
        <w:spacing w:after="0" w:line="255" w:lineRule="auto"/>
        <w:tabs>
          <w:tab w:leader="none" w:pos="65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without limitation, other than directors serving in an active position (such as: the Board Chairperson or a director who serves as an officer of the Company) or an additional position in the Company or service providers to the Company that receive compensation for their service, will be entitled to a fixed annual remuneration in the amount of up to NIS 60,000 (up to NIS15,000 per each calendar quarter). In addition, the Company’s directors may also receive a compensation per each meeting, as shall be determined by the compensation committee and Board provided that such per meeting compensation shall not exceed the maximal amount according to the Companies Ordinances (Rules regarding Remuneration and Expenses of External Directors), 5760-2000, as determined, from time to time, according to the Company’s rating. An inactive chairman of the Board of Directors will be entitled to remuneration of up to 2 times the remuneration paid to an ordinary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160" w:name="page161"/>
    <w:bookmarkEnd w:id="160"/>
    <w:p>
      <w:pPr>
        <w:ind w:left="660" w:hanging="328"/>
        <w:spacing w:after="0" w:line="282" w:lineRule="auto"/>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aforesaid, the following actions will not be considered excluding this policy, provided, if necessary, that the said actions were duly approved by the required organs according to the provisions of the Companies Law:</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52.1A director waived the remuneration due to him, entirely or any part thereof;</w:t>
      </w:r>
    </w:p>
    <w:p>
      <w:pPr>
        <w:spacing w:after="0" w:line="225"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52.2The organs authorized according to the law approved another or additional payment for a director for his office in an additional position in the Company or an associated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grant Company directors equity-based compensation according to the restrictions stipulated in this Remuneration Policy and subject to the provisions of the law, provided that the value of the annual grant at the time of granting the options, for each director (excluding directors engaged in other positions by the Company) will not exceed US$ 50,000 for each vesting year. The maximum annual benefit value of equity grant to directors engaged in other positions by the Company is subject to the limit of the bonus value included in section 38‎ above.</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general provisions</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Officers to whom this Remuneration Policy will apply, can be Company employees or independent contractors providing services to the Company. If an officer will provide services to the Company as an independent contractor, the provisions of the Remuneration Policy will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the remuneration of the officer will be paid in exchange for an invoice and the remuneration components will be normalized, so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economic terms, they will align with the said in this policy.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Policy will apply to remuneration approved as of the date of adopting the policy by the Company and thereafter. Note that this Remuneration Policy will not undermine existing engagements between the Company and its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Insider Trading Policy (the “Policy”) sets forth the policy for directors, officers, employees, consultants and contractors of Rail Vision Ltd. and its subsidiaries (the “Company”) with respect to transactions in the Company’s securities or securities of certain other publicly traded companies while in possession of confidential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shares, preferred shares, restricted shares or units, options and warrants for common shares, bonds and any other securities the Company may issue from time to time, such as convertible debentures and other derivative securities relating to the Company’s shares, whether or not issued by the Company, such as exchange-traded options (the “Company’s Securities”). It applies to all directors, officers, employees, consultants and contractors of the Company as well as members of their immediate families, members of their households and corporations under their control (collectively, “Insiders”). Directors, officers, employees, consultants and contractors of the Company are responsible for ensuring that members of their immediate families and members of their households comply with this Policy. This Policy also applies to any person who receives Material Non-Public Information (as defined below) from any Insider.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against Company policy for any Insider to make an unauthorized disclosure of any nonpublic information acquired in the work-place or as a result of their position with the Company. It is also against Company policy for any Insider to misuse Material Nonpublic Information in securities trading. The Company has established procedures for releasing material information in a manner that is designed to achieve broad public dissemination of the information to the public immediately upon its release. As a director, officer, employee, consultant or contractor of the Company, you may not, therefore, disclose information to anyone outside the Company, including family members and friends. You also may not discuss the Company or its business in an internet “chat room” or similar internet-based forum.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Policies</w:t>
      </w:r>
    </w:p>
    <w:p>
      <w:pPr>
        <w:spacing w:after="0" w:line="229" w:lineRule="exact"/>
        <w:rPr>
          <w:sz w:val="20"/>
          <w:szCs w:val="20"/>
          <w:color w:val="auto"/>
        </w:rPr>
      </w:pPr>
    </w:p>
    <w:p>
      <w:pPr>
        <w:ind w:left="180" w:hanging="172"/>
        <w:spacing w:after="0"/>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on Material Nonpublic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Insider shall engage in any transaction involving a purchase or sale of the Company’s Securities, including any offer to purchase or offer to sell, during any period commencing with the date that he or she possesses Material Nonpublic Information concerning the Company, and ending at the commencement of trading on the next Trading day following two full Trading days following the date of public disclosure of that information, or at such time as such nonpublic information is no longer material. As used herein, the term “Trading Day” shall mean a day on which the Nasdaq stock market is open for trading.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standards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2" w:name="page163"/>
    <w:bookmarkEnd w:id="162"/>
    <w:p>
      <w:pPr>
        <w:ind w:left="180" w:hanging="172"/>
        <w:spacing w:after="0"/>
        <w:tabs>
          <w:tab w:leader="none" w:pos="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Insider shall engage in a short sale of the Company’s Securities. A short sale is in general a sale of securities not owned by the seller. Transactions in certain put and call options for the Company’s Securities may in some instances constitute a short sale. Short sales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w:t>
      </w:r>
    </w:p>
    <w:p>
      <w:pPr>
        <w:spacing w:after="0" w:line="180" w:lineRule="exact"/>
        <w:rPr>
          <w:sz w:val="20"/>
          <w:szCs w:val="20"/>
          <w:color w:val="auto"/>
        </w:rPr>
      </w:pPr>
    </w:p>
    <w:p>
      <w:pPr>
        <w:ind w:left="180" w:hanging="172"/>
        <w:spacing w:after="0"/>
        <w:tabs>
          <w:tab w:leader="none" w:pos="1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Publicly Traded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transaction in publicly-traded options to purchase or sell the Company’s Securities is, in effect, a bet on the short-term movement of the Company’s Securities and therefore may create the appearance that the director, officer, employee, consultant or contractor of the Company is trading based on inside information. Transactions in options also may focus the Insider’s attention on short-term performance at the expense of the Company’s long-term objectives. Accordingly, transactions in puts, calls or other derivative securities, on an exchange or in any other organized market, by any Insider are prohibited by this Policy. Option positions arising from certain types of hedging transactions are governed by the section below captioned “Hedging Transactions.</w:t>
      </w:r>
    </w:p>
    <w:p>
      <w:pPr>
        <w:spacing w:after="0" w:line="187" w:lineRule="exact"/>
        <w:rPr>
          <w:sz w:val="20"/>
          <w:szCs w:val="20"/>
          <w:color w:val="auto"/>
        </w:rPr>
      </w:pPr>
    </w:p>
    <w:p>
      <w:pPr>
        <w:ind w:left="180" w:hanging="172"/>
        <w:spacing w:after="0"/>
        <w:tabs>
          <w:tab w:leader="none" w:pos="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Standing Orders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Standing orders should be used only for a very brief period of time. A standing order placed with a broker to sell or purchase securities at a specified price leaves you with no control over the timing of the transaction. A standing order transaction executed by the broker when you are aware of Material Nonpublic Information may result in unlawful insider trading. Transactions pursuant to a plan adopted in accordance with Rule 10b5-1 of the Securities Exchange Act of 1934, as amended (the “Exchange Act”), discussed below, may be excepted from this prohibition against standing orders.</w:t>
      </w:r>
    </w:p>
    <w:p>
      <w:pPr>
        <w:spacing w:after="0" w:line="180" w:lineRule="exact"/>
        <w:rPr>
          <w:sz w:val="20"/>
          <w:szCs w:val="20"/>
          <w:color w:val="auto"/>
        </w:rPr>
      </w:pPr>
    </w:p>
    <w:p>
      <w:pPr>
        <w:ind w:left="180" w:hanging="172"/>
        <w:spacing w:after="0"/>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an employee to lock in much of the value of his or her share holdings, often in exchange for all or part of the potential for upside appreciation in the shares. These transactions allow the Insider to continue to own the securities, but without the full risks and rewards of ownership. When that occurs, Insider may no longer have the same objectives as the Company’s other shareholders. Any person wishing to enter into such an arrangement must first pre-clear the proposed transaction with the Chief Financial Officer. Any request for pre-clearance of a hedging or similar arrangement must be submitted to the Chief Financial Officer at least two weeks prior to the proposed execution of documents evidencing the proposed transaction and must set forth a justification for the proposed transaction. The Chief Financial Officer may decline any request in his or her sole discretion.</w:t>
      </w:r>
    </w:p>
    <w:p>
      <w:pPr>
        <w:spacing w:after="0" w:line="189" w:lineRule="exact"/>
        <w:rPr>
          <w:sz w:val="20"/>
          <w:szCs w:val="20"/>
          <w:color w:val="auto"/>
        </w:rPr>
      </w:pPr>
    </w:p>
    <w:p>
      <w:pPr>
        <w:ind w:left="180" w:hanging="172"/>
        <w:spacing w:after="0"/>
        <w:tabs>
          <w:tab w:leader="none" w:pos="1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or foreclosure sale that occurs when the pledgor is aware of Material Nonpublic Information may, under some circumstances, result in unlawful insider trading. Because of this danger, Insiders should exercise caution in holding the Company’s Securities in a margin account or pledging the Company’s Securities as collateral for a loan. In addition, certain directors and executive officers may be required to publicly disclose the amount of the Company’s Securities pledged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ind w:left="180" w:hanging="172"/>
        <w:spacing w:after="0"/>
        <w:tabs>
          <w:tab w:leader="none" w:pos="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 Trading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trading of the Company’s Securities may be distracting to the person and may unduly focus the person on the Company’s short-term stock market performance instead of the Company’s long-term business objectives. For these reasons, if you purchase or sell Company Securities, you may not conduct an opposite way transaction in any Company Securities of the same class for at least six (6) months after the purchase or sale, unless you first pre-clear the proposed transaction with the Chief Financial Officer.</w:t>
      </w:r>
    </w:p>
    <w:p>
      <w:pPr>
        <w:spacing w:after="0" w:line="180" w:lineRule="exact"/>
        <w:rPr>
          <w:sz w:val="20"/>
          <w:szCs w:val="20"/>
          <w:color w:val="auto"/>
        </w:rPr>
      </w:pPr>
    </w:p>
    <w:p>
      <w:pPr>
        <w:ind w:left="180" w:hanging="172"/>
        <w:spacing w:after="0"/>
        <w:tabs>
          <w:tab w:leader="none" w:pos="1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Tipping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Insider shall disclose (commonly known as a “tip”) Material Nonpublic Information to any other person (including family members) where such information may be used, or there is a reasonable basis to believe that such information may be used, by such person to his or her profit by trading (buying or selling) in the securities of companies to which such information relates, nor shall such person or related person make recommendations or express opinions on the basis of Material Nonpublic Information as to trading in the Company’s Securities.</w:t>
      </w:r>
    </w:p>
    <w:p>
      <w:pPr>
        <w:spacing w:after="0" w:line="180" w:lineRule="exact"/>
        <w:rPr>
          <w:sz w:val="20"/>
          <w:szCs w:val="20"/>
          <w:color w:val="auto"/>
        </w:rPr>
      </w:pPr>
    </w:p>
    <w:p>
      <w:pPr>
        <w:ind w:left="180" w:hanging="172"/>
        <w:spacing w:after="0"/>
        <w:tabs>
          <w:tab w:leader="none" w:pos="1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 Concerning Trading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Insider may give trading advice of any kind about the Company or the Company’s Securities to anyone while possessing Material Nonpublic information about the Company. An Insider should always advise others, preferably in writing or electronically, not to trade in the Company’s Securities if doing so might violate the law or this policy. The Company strongly discourages any Insider from giving trading advice concerning the Company’s Securities or the Company to third parties even when such persons do not possess Material Nonpublic information about the Company or the Company’s Securities.</w:t>
      </w:r>
    </w:p>
    <w:p>
      <w:pPr>
        <w:spacing w:after="0" w:line="183" w:lineRule="exact"/>
        <w:rPr>
          <w:sz w:val="20"/>
          <w:szCs w:val="20"/>
          <w:color w:val="auto"/>
        </w:rPr>
      </w:pPr>
    </w:p>
    <w:p>
      <w:pPr>
        <w:ind w:left="280" w:hanging="272"/>
        <w:spacing w:after="0"/>
        <w:tabs>
          <w:tab w:leader="none" w:pos="2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Nonpublic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Nonpublic information relating to the Company is the property of the Company and the unauthorized disclosure of such information is forbidden. In the event any Insider receives any inquiry for information from outside the Company, such as from a journalist, stock analyst or investor, the inquiry should be referred to the Company’s Chief Executive Officer or any designee of the Chief Executive Officer who is responsible for coordinating and overseeing the release of such information to the investing public, analysts and others in compliance with applicable laws and regulations.</w:t>
      </w:r>
    </w:p>
    <w:p>
      <w:pPr>
        <w:spacing w:after="0" w:line="180" w:lineRule="exact"/>
        <w:rPr>
          <w:sz w:val="20"/>
          <w:szCs w:val="20"/>
          <w:color w:val="auto"/>
        </w:rPr>
      </w:pPr>
    </w:p>
    <w:p>
      <w:pPr>
        <w:ind w:left="280" w:hanging="272"/>
        <w:spacing w:after="0"/>
        <w:tabs>
          <w:tab w:leader="none" w:pos="2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Transactions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continues to apply to your transactions in the Company’s Securities even after you have terminated employment or cease to serve as an officer, director, consultant or contractor. If you are in possession of Material Nonpublic Information when your employment or other service to the Company terminates or ceases, you may not trade in the Company’s Securities until that information has become public or is no longer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 and/or Disciplinary Action</w:t>
      </w:r>
    </w:p>
    <w:p>
      <w:pPr>
        <w:spacing w:after="0" w:line="229" w:lineRule="exact"/>
        <w:rPr>
          <w:sz w:val="20"/>
          <w:szCs w:val="20"/>
          <w:color w:val="auto"/>
        </w:rPr>
      </w:pPr>
    </w:p>
    <w:p>
      <w:pPr>
        <w:ind w:left="180" w:hanging="172"/>
        <w:spacing w:after="0"/>
        <w:tabs>
          <w:tab w:leader="none" w:pos="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for Insider Trading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federal and state securities laws, any person violating U.S. insider trading laws may be subject to penalties of up to $5,000,000 and up to 20 years in jail for engaging in transactions in the Company’s Securities at a time when they have knowledge of Material Nonpublic Information regarding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auto"/>
        </w:rPr>
        <w:t>Liability for Tipping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the Company’s Securities. The Securities and Exchange Commission (the “SEC”) has imposed large penalties even when the disclosing person did not profit from the trading. The SEC, the stock exchanges, and the Financial Industry Regulatory Authority use sophisticated electronic surveillance techniques to uncover insider trading. In recent years, criminal prosecution of insiders has become much more common, particularly when such persons were aware of their obligations under the securities laws and elected to ignore those obligations in acting on, or in tipping others concerning, Material Nonpublic Information.</w:t>
      </w:r>
    </w:p>
    <w:p>
      <w:pPr>
        <w:spacing w:after="0" w:line="189" w:lineRule="exact"/>
        <w:rPr>
          <w:sz w:val="20"/>
          <w:szCs w:val="20"/>
          <w:color w:val="auto"/>
        </w:rPr>
      </w:pPr>
    </w:p>
    <w:p>
      <w:pPr>
        <w:ind w:left="180" w:hanging="172"/>
        <w:spacing w:after="0"/>
        <w:tabs>
          <w:tab w:leader="none" w:pos="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Control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or its supervisory personnel fail to take appropriate steps to prevent illegal insider trading, they may be subject to the following penalties: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civil penalty of up to $1,425,000 or, if greater, three times the profit gained or loss avoided as a result of the employee’s violation;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540" w:hanging="236"/>
        <w:spacing w:after="0"/>
        <w:tabs>
          <w:tab w:leader="none" w:pos="1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$5,000,000 and up to 20 years in jail for individuals and/or a fine of $25,000,000 for the Company.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Disciplinary Actions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Insiders who violate this Policy may also be subject to disciplinary action by the Company, which may include ineligibility for future participation in the Company’s equity incentive plans or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Guidelines and Requirements</w:t>
      </w:r>
    </w:p>
    <w:p>
      <w:pPr>
        <w:spacing w:after="0" w:line="229" w:lineRule="exact"/>
        <w:rPr>
          <w:sz w:val="20"/>
          <w:szCs w:val="20"/>
          <w:color w:val="auto"/>
        </w:rPr>
      </w:pPr>
    </w:p>
    <w:p>
      <w:pPr>
        <w:ind w:left="180" w:hanging="172"/>
        <w:spacing w:after="0"/>
        <w:tabs>
          <w:tab w:leader="none" w:pos="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 and Trading Window</w:t>
      </w:r>
    </w:p>
    <w:p>
      <w:pPr>
        <w:spacing w:after="0" w:line="223" w:lineRule="exact"/>
        <w:rPr>
          <w:sz w:val="20"/>
          <w:szCs w:val="20"/>
          <w:color w:val="auto"/>
        </w:rPr>
      </w:pPr>
    </w:p>
    <w:p>
      <w:pPr>
        <w:jc w:val="both"/>
        <w:ind w:left="340" w:hanging="332"/>
        <w:spacing w:after="0" w:line="257"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Black-Out Period</w:t>
      </w:r>
      <w:r>
        <w:rPr>
          <w:rFonts w:ascii="Times New Roman" w:cs="Times New Roman" w:eastAsia="Times New Roman" w:hAnsi="Times New Roman"/>
          <w:sz w:val="18"/>
          <w:szCs w:val="18"/>
          <w:color w:val="auto"/>
        </w:rPr>
        <w:t>. The period beginning at the close of market on the 14th day of the last month of a fiscal quarter and ending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trading on the next Trading Day following two full Trading Days after the date of public disclosure of the financial results for that fiscal quarter is a particularly sensitive period of time for transactions in the Company’s Securities from the perspective of compliance with applicable securities laws. This sensitivity arises because directors, officers and certain employees involved in the preparation of the financial results will often possess Material Nonpublic Information about the expected financial results for the quarter during that period. Accordingly, this period of time is referred to as a “financial black-out” period. Accordingly, all officers, directors and employees are prohibited from trading during such period.</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Black-Out Periods</w:t>
      </w:r>
      <w:r>
        <w:rPr>
          <w:rFonts w:ascii="Times New Roman" w:cs="Times New Roman" w:eastAsia="Times New Roman" w:hAnsi="Times New Roman"/>
          <w:sz w:val="18"/>
          <w:szCs w:val="18"/>
          <w:color w:val="auto"/>
        </w:rPr>
        <w:t>. In addition, from time to time Material Nonpublic Information regarding the Company may be pending or there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developments known to the Company and not yet disclosed to the public. The Company may impose a special “black-out” period on all directors and officers (and those other Insiders identified by the Company from time to time and who have been notified that they have been so identified) prohibiting them from trading in the Company’s Securities during a special black-out period and such persons should not disclose to others the fact of such suspension of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both"/>
        <w:ind w:left="340" w:hanging="332"/>
        <w:spacing w:after="0" w:line="254" w:lineRule="auto"/>
        <w:tabs>
          <w:tab w:leader="none" w:pos="3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Trading Window Related to Financial Information</w:t>
      </w:r>
      <w:r>
        <w:rPr>
          <w:rFonts w:ascii="Times New Roman" w:cs="Times New Roman" w:eastAsia="Times New Roman" w:hAnsi="Times New Roman"/>
          <w:sz w:val="18"/>
          <w:szCs w:val="18"/>
          <w:color w:val="auto"/>
        </w:rPr>
        <w:t>. To ensure compliance with this Policy and applicable federal and state securities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requires that all Insiders refrain from conducting transactions involving the purchase or sale of the Company’s Securities other than during the period (the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commencing at the open of market on the third Trading Day following the date of public disclosure of the financial results for a particular fiscal quarter or year and continuing until the close of market on the 14th day prior to the end of the third calendar month of the next fiscal quarter. During the Trading Window, if the Company is in a special black-out period, the Company requires that all directors and officers and those certain identified Insiders refrain from conducting transactions involving the purchase or sale of the Company’s Securities even though the Trading Window may otherwise be open. The prohibition against trading during the financial black-out period and special black-out period encompasses the fulfillment of “limit orders” by any broker for an Insider and the brokers with whom any such limit order is placed must be so instructed at the time it is placed.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It should be noted, however, that even during a Trading Window, any person possessing Material Nonpublic Information concerning the Company, whether or not subject to the financial or special black-out periods, should not engage in any transactions in the Company’s Securities (except for transactions specifically described in the “Certain Exceptions” section below) until such information has been known publicly for at least two full Trading Days, whether or not the Company has recommended a suspension of trading to that person. Trading in the Company’s Securities during the Trading Window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a “safe harbor,” and all Insiders should use good judgment at all times and pre-clear all trades in accordance with the following paragraph.</w:t>
      </w:r>
    </w:p>
    <w:p>
      <w:pPr>
        <w:spacing w:after="0" w:line="186" w:lineRule="exact"/>
        <w:rPr>
          <w:sz w:val="20"/>
          <w:szCs w:val="20"/>
          <w:color w:val="auto"/>
        </w:rPr>
      </w:pPr>
    </w:p>
    <w:p>
      <w:pPr>
        <w:ind w:left="180" w:hanging="172"/>
        <w:spacing w:after="0"/>
        <w:tabs>
          <w:tab w:leader="none" w:pos="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Trades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Insiders must refrain from trading in the Company’s Securities without first complying with the Company’s “pre-clearance” process, even if the trade would take place in a Trading Window. Each Insider must contact the Chief Financial Officer prior to commencing any trade in the Company’s Securities. The Chief Financial Officer will consult as necessary with senior management of the Company before clearing any proposed trade.</w:t>
      </w:r>
    </w:p>
    <w:p>
      <w:pPr>
        <w:spacing w:after="0" w:line="176" w:lineRule="exact"/>
        <w:rPr>
          <w:sz w:val="20"/>
          <w:szCs w:val="20"/>
          <w:color w:val="auto"/>
        </w:rPr>
      </w:pPr>
    </w:p>
    <w:p>
      <w:pPr>
        <w:ind w:left="180" w:hanging="172"/>
        <w:spacing w:after="0"/>
        <w:tabs>
          <w:tab w:leader="none" w:pos="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Responsibility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Insider has the individual responsibility to comply with this Policy. He or she may, from time to time, have to forego a proposed transaction in the Company’s Securities even if he or she planned to make the transaction before learning of the Material Nonpublic Information and even though he or she believes he or she may suffer an economic loss or forego anticipated profit by waiting.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your individual responsibility, you should take every practicable step to preserve the confidentiality of information. For example:</w:t>
      </w:r>
    </w:p>
    <w:p>
      <w:pPr>
        <w:spacing w:after="0" w:line="225" w:lineRule="exact"/>
        <w:rPr>
          <w:sz w:val="20"/>
          <w:szCs w:val="20"/>
          <w:color w:val="auto"/>
        </w:rPr>
      </w:pPr>
    </w:p>
    <w:p>
      <w:pPr>
        <w:ind w:left="900" w:hanging="244"/>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discuss material information in elevators, hallways, restaurants, airplanes, taxicabs or any place where you can be overheard;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gossip about confidential information;</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read confidential documents in public places or discard them where they can be retrieved 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6" w:name="page167"/>
    <w:bookmarkEnd w:id="166"/>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carry confidential documents in elevators, hallways, etc. in an exposed manner;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Beware of the carrying quality of conversations conducted on speaker telephones in offices, and the potential for eavesdropping on conversations conducted on car or airplane telephones, on marine radios, etc.;</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leave confidential documents in unattended conference rooms; don’t leave confidential documents behind when the conference is over;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confidential documents on your desk before you leave your room; don’t leave confidential papers lying where visitors can see them;</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careful when giving out the whereabouts of personnel not in the office or revealing the presence of specific visitors to the office. The mere fact of a meeting or the destination of a trip may reveal something confidential;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are employees to provide confidential Company documents or other information to third parties, without express consent of the supervisor. This includes, but is not limited to, any confidential Company documents or information relating to customers, competitors or suppliers of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Obviously, a list such as this can only be suggestive. It is the responsibility of each employee to take whatever practicable steps are appropriate to preserve the confidentiality of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Policy to Inside Information Regarding Other Companies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also applies to Material Nonpublic Information relating to other companies with which the Company conducts business, including proposed business combinations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when that information is obtained in the course of employment with, or other services performed on behalf of, the Company. Civil and criminal penalties, and termination of employment, may result from trading on inside information regarding the Company’s Business Partners. All Insiders should treat Material Nonpublic Information about the Company’s Business Partners with the same care required with respect to information related directly to the Company. Similarly, you must not discuss Material Nonpublic Information relating to the Company’s Business Partners in an internet “chat room” or similar internet-based forum.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not possible to define all categories of Material Nonpublic Information. However, information should be regarded as material if there is a reasonable likelihood that it would be considered important (within the total mix of information) to an investor in making an investment decision regarding the purchase or sale of the Company’s Securities. Either positive or negative information may be material.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62" w:lineRule="exact"/>
        <w:rPr>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related to intellectual property;</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related to collaboration relationships;</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licensing arrangements, or purchases or sales of substantial assets;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splits;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developments in outstanding litigation;</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 and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the Company’s auditors or the board of directors.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Nonpublic information is information that has not been previously disclosed to the general public and is otherwise not available to the general public. To be “public” the information must have been disseminated in a manner designed to reach investors generally, and the investors must be given the opportunity to absorb the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Exceptions</w:t>
      </w:r>
    </w:p>
    <w:p>
      <w:pPr>
        <w:spacing w:after="0" w:line="229" w:lineRule="exact"/>
        <w:rPr>
          <w:sz w:val="20"/>
          <w:szCs w:val="20"/>
          <w:color w:val="auto"/>
        </w:rPr>
      </w:pPr>
    </w:p>
    <w:p>
      <w:pPr>
        <w:ind w:left="180" w:hanging="172"/>
        <w:spacing w:after="0"/>
        <w:tabs>
          <w:tab w:leader="none" w:pos="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 Exercises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Policy does not apply to the exercise of an Insider share option if the shares acquired upon exercise are held rather than sold, or to the exercise of a tax withholding right pursuant to the option holder elects to have the Company withhold shares subject to an option to satisfy tax withholding requirements. The Policy does apply, however, to any sale of shares as part of a broker-assisted cashless exercise of an option, or any other sale for the purpose of generating the cash needed to pay the exercise price of an option.</w:t>
      </w:r>
    </w:p>
    <w:p>
      <w:pPr>
        <w:spacing w:after="0" w:line="180" w:lineRule="exact"/>
        <w:rPr>
          <w:sz w:val="20"/>
          <w:szCs w:val="20"/>
          <w:color w:val="auto"/>
        </w:rPr>
      </w:pPr>
    </w:p>
    <w:p>
      <w:pPr>
        <w:ind w:left="180" w:hanging="172"/>
        <w:spacing w:after="0"/>
        <w:tabs>
          <w:tab w:leader="none" w:pos="1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to the vesting of restricted shares, or the forfeiture of shares to pay for taxes incident to such vesting.</w:t>
      </w:r>
    </w:p>
    <w:p>
      <w:pPr>
        <w:spacing w:after="0" w:line="225" w:lineRule="exact"/>
        <w:rPr>
          <w:sz w:val="20"/>
          <w:szCs w:val="20"/>
          <w:color w:val="auto"/>
        </w:rPr>
      </w:pPr>
    </w:p>
    <w:p>
      <w:pPr>
        <w:ind w:left="180" w:hanging="172"/>
        <w:spacing w:after="0"/>
        <w:tabs>
          <w:tab w:leader="none" w:pos="1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generally may be exempt from this Policy. However, all such gifts by Insiders must be pre-cleared by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if a Black-Out Period is in effect at the time of the gift. The Chief Financial Officer may prohibit any gift that is subject to pre-clearance in his or her sole discretion.</w:t>
      </w:r>
    </w:p>
    <w:p>
      <w:pPr>
        <w:spacing w:after="0" w:line="175" w:lineRule="exact"/>
        <w:rPr>
          <w:sz w:val="20"/>
          <w:szCs w:val="20"/>
          <w:color w:val="auto"/>
        </w:rPr>
      </w:pPr>
    </w:p>
    <w:p>
      <w:pPr>
        <w:ind w:left="180" w:hanging="172"/>
        <w:spacing w:after="0"/>
        <w:tabs>
          <w:tab w:leader="none" w:pos="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Blind Trusts and Pre-Arranged Trading Programs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10b5-1 of the Exchange Act provides an affirmative defense against insider trading liability for a transaction done pursuant to “blind trusts” (trusts in which investment control has been delegated to a third party, such as an institutional or professional trustee) or pursuant to a written plan, or a binding contract or instruction, entered into in good faith at a time when the Insider was not aware of Material Nonpublic Information, even though the transaction in question may occur at a time when such person is aware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in appropriate circumstances, permit Insiders to enter into a blind trust or a trading program that complies with Rule 10b5-1, in which case, unless otherwise determined as provided below, the pre-clearance procedures or the Black-Out Periods of this Policy shall not apply to transactions executed pursuant to such blind trust or trading program. All blind trusts and trading programs, must be pre-cleared with the Chief Financial Officer. With respect to arrangements that result or may result in transactions taking place during Black-Out Periods, the Chief Financial Officer will review such arrangements in light of guidelines that it from time to time establishes, with input, if appropriate, from the Board of Directors and Company legal counsel. The Company reserves the right to bar any transactions in the Company’s Securities, including transactions pursuant to arrangements previously approved, if the Chief Financial Officer determines that such a bar is in the best interests of the Company. In addition, the Company does not permit any trades in such a blind trust or a Rule 10b5-1 trading program to consist of any hedging transactions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Guidance and Information –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Directors and officers of the Company and certain other persons identified by the Company from time to time must also comply with the reporting obligations and limitations on short-swing transactions set forth in Section 16 of the Exchange Act, to the extent applicable. The practical effect of these provisions is that officers, directors and such other persons who purchase and sell the Company’s Securities within a six-month period must disgorge all profits to the Company whether or not they had knowledge of any Material Nonpublic Information. Under these provisions, and so long as certain other criteria are met, neither the receipt of an option under the Company’s option plans, nor the exercise of that option is deemed a purchase under Section 16; however, the sale of any such shares is a sale under Section 16. Section 16 prohibits executive officers and directors from ever making a short sale of the Company’s stock. A short sale is a sale of securities not owned by the seller or, if owned, not delivered. Transactions in put and call options for the Company’s Securities may in some instances constitute a short sale or may otherwise result in liability for short swing profits. All executive officers and directors of the Company and such other identified persons must confer with the Chief Financial Officer before effecting any such transaction. The Company does not permit short-swing and short sale transactions by executive officers or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of Statutory or Regulatory Trading Restrictions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prohibitions and restrictions set forth in this Policy will be superseded by any greater prohibitions or restrictions prescribed by federal or state securities laws and regulations, e.g., contractual restrictions on the sale of securities (e.g. under lock-up agreements), short-swing trading by Section 16 parties or restrictions on the sale of securities subject to Rule 144 under the Securities Act. Any person who is uncertain whether other prohibitions or restrictions apply should ask the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Chief Financial Officer. Ultimately, however, the responsibility for adhering to this Policy and avoiding unlawful transactions rests with the individual Insider.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directors, officers, employees, consultants and contractors must certify their understanding of, and intent to comply with, this Policy. Please sign the certification attached hereto as 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Last Updated: March 16,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ATTACHMENT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certify that:</w:t>
      </w:r>
    </w:p>
    <w:p>
      <w:pPr>
        <w:spacing w:after="0" w:line="225" w:lineRule="exact"/>
        <w:rPr>
          <w:sz w:val="20"/>
          <w:szCs w:val="20"/>
          <w:color w:val="auto"/>
        </w:rPr>
      </w:pPr>
    </w:p>
    <w:p>
      <w:pPr>
        <w:ind w:firstLine="656"/>
        <w:spacing w:after="0" w:line="282" w:lineRule="auto"/>
        <w:tabs>
          <w:tab w:leader="none" w:pos="84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Company’s Insider Trading Policy (the “Policy”). I understand that the Chief Financial Officer is available to answer any questions I have regarding the Policy.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this Policy became effective, or such shorter period of time that I have been a director, officer or other employee of the Company, I have complied with the Policy.</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continue to comply with the Policy for as long as I am subject to the Policy.</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Shahar Hania, certify that:</w:t>
      </w:r>
    </w:p>
    <w:p>
      <w:pPr>
        <w:spacing w:after="0" w:line="225"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Rail Vision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Shahar Hania</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Shahar Hania</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Ofer Naveh, certify that:</w:t>
      </w:r>
    </w:p>
    <w:p>
      <w:pPr>
        <w:spacing w:after="0" w:line="225" w:lineRule="exact"/>
        <w:rPr>
          <w:sz w:val="20"/>
          <w:szCs w:val="20"/>
          <w:color w:val="auto"/>
        </w:rPr>
      </w:pPr>
    </w:p>
    <w:p>
      <w:pPr>
        <w:ind w:left="340" w:hanging="332"/>
        <w:spacing w:after="0"/>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Rail Vision Ltd.;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5440" w:type="dxa"/>
            <w:vAlign w:val="bottom"/>
          </w:tcPr>
          <w:p>
            <w:pPr>
              <w:spacing w:after="0"/>
              <w:rPr>
                <w:sz w:val="16"/>
                <w:szCs w:val="16"/>
                <w:color w:val="auto"/>
              </w:rPr>
            </w:pPr>
          </w:p>
        </w:tc>
        <w:tc>
          <w:tcPr>
            <w:tcW w:w="5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54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4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20-F for the period ended December 31, 2024 (the “Report”) by Rail Vision Ltd. (the “Company”), the undersigned, as the Chief Executive Officer of the Company, hereby certifies pursuant to 18 U.S.C. Section 1350, that, to my knowledge:</w:t>
      </w:r>
    </w:p>
    <w:p>
      <w:pPr>
        <w:spacing w:after="0" w:line="162" w:lineRule="exact"/>
        <w:rPr>
          <w:sz w:val="20"/>
          <w:szCs w:val="20"/>
          <w:color w:val="auto"/>
        </w:rPr>
      </w:pPr>
    </w:p>
    <w:p>
      <w:pPr>
        <w:ind w:left="340" w:hanging="332"/>
        <w:spacing w:after="0"/>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Shahar Hania</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Shahar Hania</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20-F for the period ended December 31, 2024 (the “Report”) by Rail Vision Ltd. (the “Company”), the undersigned, as the Chief Financial Officer of the Company, hereby certifies pursuant to 18 U.S.C. Section 1350, that, to my knowledge:</w:t>
      </w:r>
    </w:p>
    <w:p>
      <w:pPr>
        <w:spacing w:after="0" w:line="162"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on Form F-3 (File Nos. 333-271068, 333-272933, 333-276869, 333-277963 and 333-278645) and Form S-8 (File Nos. 333-265968 and 333-281329) of our report dated March 31, 2025, relating to the financial statements of Rail Vision Ltd. appearing in this Annual Report on Form 20-F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1."/>
      <w:numFmt w:val="upperLetter"/>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1."/>
      <w:numFmt w:val="decimal"/>
      <w:start w:val="1"/>
    </w:lvl>
  </w:abstractNum>
  <w:abstractNum w:abstractNumId="30">
    <w:nsid w:val="6A3DD3E8"/>
    <w:multiLevelType w:val="hybridMultilevel"/>
    <w:lvl w:ilvl="0">
      <w:lvlJc w:val="left"/>
      <w:lvlText w:val="%1."/>
      <w:numFmt w:val="decimal"/>
      <w:start w:val="2"/>
    </w:lvl>
  </w:abstractNum>
  <w:abstractNum w:abstractNumId="31">
    <w:nsid w:val="71C91298"/>
    <w:multiLevelType w:val="hybridMultilevel"/>
    <w:lvl w:ilvl="0">
      <w:lvlJc w:val="left"/>
      <w:lvlText w:val="%1."/>
      <w:numFmt w:val="decimal"/>
      <w:start w:val="3"/>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1."/>
      <w:numFmt w:val="decimal"/>
      <w:start w:val="1"/>
    </w:lvl>
    <w:lvl w:ilvl="1">
      <w:lvlJc w:val="left"/>
      <w:lvlText w:val="●"/>
      <w:numFmt w:val="bullet"/>
      <w:start w:val="1"/>
    </w:lvl>
  </w:abstractNum>
  <w:abstractNum w:abstractNumId="34">
    <w:nsid w:val="1FBFE8E0"/>
    <w:multiLevelType w:val="hybridMultilevel"/>
    <w:lvl w:ilvl="0">
      <w:lvlJc w:val="left"/>
      <w:lvlText w:val="%1."/>
      <w:numFmt w:val="decimal"/>
      <w:start w:val="1"/>
    </w:lvl>
    <w:lvl w:ilvl="1">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1."/>
      <w:numFmt w:val="decimal"/>
      <w:start w:val="1"/>
    </w:lvl>
  </w:abstractNum>
  <w:abstractNum w:abstractNumId="40">
    <w:nsid w:val="1D9F6E5F"/>
    <w:multiLevelType w:val="hybridMultilevel"/>
    <w:lvl w:ilvl="0">
      <w:lvlJc w:val="left"/>
      <w:lvlText w:val="%1."/>
      <w:numFmt w:val="decimal"/>
      <w:start w:val="1"/>
    </w:lvl>
  </w:abstractNum>
  <w:abstractNum w:abstractNumId="41">
    <w:nsid w:val="97E1B4E"/>
    <w:multiLevelType w:val="hybridMultilevel"/>
    <w:lvl w:ilvl="0">
      <w:lvlJc w:val="left"/>
      <w:lvlText w:val="%1."/>
      <w:numFmt w:val="decimal"/>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1)"/>
      <w:numFmt w:val="decimal"/>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1)"/>
      <w:numFmt w:val="decimal"/>
      <w:start w:val="1"/>
    </w:lvl>
  </w:abstractNum>
  <w:abstractNum w:abstractNumId="46">
    <w:nsid w:val="7C58FD05"/>
    <w:multiLevelType w:val="hybridMultilevel"/>
    <w:lvl w:ilvl="0">
      <w:lvlJc w:val="left"/>
      <w:lvlText w:val="(%1)"/>
      <w:numFmt w:val="decimal"/>
      <w:start w:val="13"/>
    </w:lvl>
  </w:abstractNum>
  <w:abstractNum w:abstractNumId="47">
    <w:nsid w:val="23D86AAC"/>
    <w:multiLevelType w:val="hybridMultilevel"/>
    <w:lvl w:ilvl="0">
      <w:lvlJc w:val="left"/>
      <w:lvlText w:val="●"/>
      <w:numFmt w:val="bullet"/>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1)"/>
      <w:numFmt w:val="decimal"/>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
      <w:numFmt w:val="bullet"/>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
      <w:numFmt w:val="bullet"/>
      <w:start w:val="1"/>
    </w:lvl>
  </w:abstractNum>
  <w:abstractNum w:abstractNumId="54">
    <w:nsid w:val="39B7AAA2"/>
    <w:multiLevelType w:val="hybridMultilevel"/>
    <w:lvl w:ilvl="0">
      <w:lvlJc w:val="left"/>
      <w:lvlText w:val="●"/>
      <w:numFmt w:val="bullet"/>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1)"/>
      <w:numFmt w:val="decimal"/>
      <w:start w:val="3"/>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1)"/>
      <w:numFmt w:val="lowerRoman"/>
      <w:start w:val="3"/>
    </w:lvl>
  </w:abstractNum>
  <w:abstractNum w:abstractNumId="68">
    <w:nsid w:val="175DFCF0"/>
    <w:multiLevelType w:val="hybridMultilevel"/>
    <w:lvl w:ilvl="0">
      <w:lvlJc w:val="left"/>
      <w:lvlText w:val="(%1)"/>
      <w:numFmt w:val="lowerRoman"/>
      <w:start w:val="1"/>
    </w:lvl>
  </w:abstractNum>
  <w:abstractNum w:abstractNumId="69">
    <w:nsid w:val="4F97E3E4"/>
    <w:multiLevelType w:val="hybridMultilevel"/>
    <w:lvl w:ilvl="0">
      <w:lvlJc w:val="left"/>
      <w:lvlText w:val="●"/>
      <w:numFmt w:val="bullet"/>
      <w:start w:val="1"/>
    </w:lvl>
  </w:abstractNum>
  <w:abstractNum w:abstractNumId="70">
    <w:nsid w:val="53B0A9E"/>
    <w:multiLevelType w:val="hybridMultilevel"/>
    <w:lvl w:ilvl="0">
      <w:lvlJc w:val="left"/>
      <w:lvlText w:val="●"/>
      <w:numFmt w:val="bullet"/>
      <w:start w:val="1"/>
    </w:lvl>
  </w:abstractNum>
  <w:abstractNum w:abstractNumId="71">
    <w:nsid w:val="34FD6B4F"/>
    <w:multiLevelType w:val="hybridMultilevel"/>
    <w:lvl w:ilvl="0">
      <w:lvlJc w:val="left"/>
      <w:lvlText w:val="(%1)"/>
      <w:numFmt w:val="decimal"/>
      <w:start w:val="1"/>
    </w:lvl>
  </w:abstractNum>
  <w:abstractNum w:abstractNumId="72">
    <w:nsid w:val="5915FF32"/>
    <w:multiLevelType w:val="hybridMultilevel"/>
    <w:lvl w:ilvl="0">
      <w:lvlJc w:val="left"/>
      <w:lvlText w:val="(%1)"/>
      <w:numFmt w:val="decimal"/>
      <w:start w:val="7"/>
    </w:lvl>
    <w:lvl w:ilvl="1">
      <w:lvlJc w:val="left"/>
      <w:lvlText w:val="(%2)"/>
      <w:numFmt w:val="lowerRoman"/>
      <w:start w:val="3"/>
    </w:lvl>
  </w:abstractNum>
  <w:abstractNum w:abstractNumId="73">
    <w:nsid w:val="56438D15"/>
    <w:multiLevelType w:val="hybridMultilevel"/>
    <w:lvl w:ilvl="0">
      <w:lvlJc w:val="left"/>
      <w:lvlText w:val="●"/>
      <w:numFmt w:val="bullet"/>
      <w:start w:val="1"/>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1)"/>
      <w:numFmt w:val="decimal"/>
      <w:start w:val="3"/>
    </w:lvl>
  </w:abstractNum>
  <w:abstractNum w:abstractNumId="76">
    <w:nsid w:val="17A1B582"/>
    <w:multiLevelType w:val="hybridMultilevel"/>
    <w:lvl w:ilvl="0">
      <w:lvlJc w:val="left"/>
      <w:lvlText w:val="(%1)"/>
      <w:numFmt w:val="decimal"/>
      <w:start w:val="3"/>
    </w:lvl>
  </w:abstractNum>
  <w:abstractNum w:abstractNumId="77">
    <w:nsid w:val="4DF72E4E"/>
    <w:multiLevelType w:val="hybridMultilevel"/>
    <w:lvl w:ilvl="0">
      <w:lvlJc w:val="left"/>
      <w:lvlText w:val="●"/>
      <w:numFmt w:val="bullet"/>
      <w:start w:val="1"/>
    </w:lvl>
  </w:abstractNum>
  <w:abstractNum w:abstractNumId="78">
    <w:nsid w:val="5046B5A9"/>
    <w:multiLevelType w:val="hybridMultilevel"/>
    <w:lvl w:ilvl="0">
      <w:lvlJc w:val="left"/>
      <w:lvlText w:val="●"/>
      <w:numFmt w:val="bullet"/>
      <w:start w:val="1"/>
    </w:lvl>
  </w:abstractNum>
  <w:abstractNum w:abstractNumId="79">
    <w:nsid w:val="5D888A08"/>
    <w:multiLevelType w:val="hybridMultilevel"/>
    <w:lvl w:ilvl="0">
      <w:lvlJc w:val="left"/>
      <w:lvlText w:val="●"/>
      <w:numFmt w:val="bullet"/>
      <w:start w:val="1"/>
    </w:lvl>
  </w:abstractNum>
  <w:abstractNum w:abstractNumId="80">
    <w:nsid w:val="2A082C70"/>
    <w:multiLevelType w:val="hybridMultilevel"/>
    <w:lvl w:ilvl="0">
      <w:lvlJc w:val="left"/>
      <w:lvlText w:val="%1"/>
      <w:numFmt w:val="decimal"/>
      <w:start w:val="101"/>
    </w:lvl>
  </w:abstractNum>
  <w:abstractNum w:abstractNumId="81">
    <w:nsid w:val="5EC6AFD4"/>
    <w:multiLevelType w:val="hybridMultilevel"/>
    <w:lvl w:ilvl="0">
      <w:lvlJc w:val="left"/>
      <w:lvlText w:val="*"/>
      <w:numFmt w:val="bullet"/>
      <w:start w:val="1"/>
    </w:lvl>
  </w:abstractNum>
  <w:abstractNum w:abstractNumId="82">
    <w:nsid w:val="19E21BB2"/>
    <w:multiLevelType w:val="hybridMultilevel"/>
    <w:lvl w:ilvl="0">
      <w:lvlJc w:val="left"/>
      <w:lvlText w:val="(*)"/>
      <w:numFmt w:val="bullet"/>
      <w:start w:val="1"/>
    </w:lvl>
  </w:abstractNum>
  <w:abstractNum w:abstractNumId="83">
    <w:nsid w:val="75E0858A"/>
    <w:multiLevelType w:val="hybridMultilevel"/>
    <w:lvl w:ilvl="0">
      <w:lvlJc w:val="left"/>
      <w:lvlText w:val="(*)"/>
      <w:numFmt w:val="bullet"/>
      <w:start w:val="1"/>
    </w:lvl>
  </w:abstractNum>
  <w:abstractNum w:abstractNumId="84">
    <w:nsid w:val="57A61A29"/>
    <w:multiLevelType w:val="hybridMultilevel"/>
    <w:lvl w:ilvl="0">
      <w:lvlJc w:val="left"/>
      <w:lvlText w:val="(**)"/>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
      <w:numFmt w:val="bullet"/>
      <w:start w:val="1"/>
    </w:lvl>
  </w:abstractNum>
  <w:abstractNum w:abstractNumId="87">
    <w:nsid w:val="4427069A"/>
    <w:multiLevelType w:val="hybridMultilevel"/>
    <w:lvl w:ilvl="0">
      <w:lvlJc w:val="left"/>
      <w:lvlText w:val="(**)"/>
      <w:numFmt w:val="bullet"/>
      <w:start w:val="1"/>
    </w:lvl>
  </w:abstractNum>
  <w:abstractNum w:abstractNumId="88">
    <w:nsid w:val="B37E80A"/>
    <w:multiLevelType w:val="hybridMultilevel"/>
    <w:lvl w:ilvl="0">
      <w:lvlJc w:val="left"/>
      <w:lvlText w:val="%1."/>
      <w:numFmt w:val="upperLetter"/>
      <w:start w:val="2"/>
    </w:lvl>
  </w:abstractNum>
  <w:abstractNum w:abstractNumId="89">
    <w:nsid w:val="2157F6BC"/>
    <w:multiLevelType w:val="hybridMultilevel"/>
    <w:lvl w:ilvl="0">
      <w:lvlJc w:val="left"/>
      <w:lvlText w:val="%1."/>
      <w:numFmt w:val="upperLetter"/>
      <w:start w:val="1"/>
    </w:lvl>
  </w:abstractNum>
  <w:abstractNum w:abstractNumId="90">
    <w:nsid w:val="704E1DD5"/>
    <w:multiLevelType w:val="hybridMultilevel"/>
    <w:lvl w:ilvl="0">
      <w:lvlJc w:val="left"/>
      <w:lvlText w:val="%1."/>
      <w:numFmt w:val="upperLetter"/>
      <w:start w:val="5"/>
    </w:lvl>
  </w:abstractNum>
  <w:abstractNum w:abstractNumId="91">
    <w:nsid w:val="57D2F10E"/>
    <w:multiLevelType w:val="hybridMultilevel"/>
    <w:lvl w:ilvl="0">
      <w:lvlJc w:val="left"/>
      <w:lvlText w:val="%1."/>
      <w:numFmt w:val="upperLetter"/>
      <w:start w:val="8"/>
    </w:lvl>
  </w:abstractNum>
  <w:abstractNum w:abstractNumId="92">
    <w:nsid w:val="BFFAE18"/>
    <w:multiLevelType w:val="hybridMultilevel"/>
    <w:lvl w:ilvl="0">
      <w:lvlJc w:val="left"/>
      <w:lvlText w:val="%1."/>
      <w:numFmt w:val="upperLetter"/>
      <w:start w:val="11"/>
    </w:lvl>
  </w:abstractNum>
  <w:abstractNum w:abstractNumId="93">
    <w:nsid w:val="E3E47A8"/>
    <w:multiLevelType w:val="hybridMultilevel"/>
    <w:lvl w:ilvl="0">
      <w:lvlJc w:val="left"/>
      <w:lvlText w:val="%1."/>
      <w:numFmt w:val="upperLetter"/>
      <w:start w:val="14"/>
    </w:lvl>
  </w:abstractNum>
  <w:abstractNum w:abstractNumId="94">
    <w:nsid w:val="2E48F044"/>
    <w:multiLevelType w:val="hybridMultilevel"/>
    <w:lvl w:ilvl="0">
      <w:lvlJc w:val="left"/>
      <w:lvlText w:val="%1."/>
      <w:numFmt w:val="upperLetter"/>
      <w:start w:val="1"/>
    </w:lvl>
    <w:lvl w:ilvl="1">
      <w:lvlJc w:val="left"/>
      <w:lvlText w:val="(%2)"/>
      <w:numFmt w:val="decimal"/>
      <w:start w:val="1"/>
    </w:lvl>
  </w:abstractNum>
  <w:abstractNum w:abstractNumId="95">
    <w:nsid w:val="49D0FEAC"/>
    <w:multiLevelType w:val="hybridMultilevel"/>
    <w:lvl w:ilvl="0">
      <w:lvlJc w:val="left"/>
      <w:lvlText w:val="%1."/>
      <w:numFmt w:val="upperLetter"/>
      <w:start w:val="2"/>
    </w:lvl>
    <w:lvl w:ilvl="1">
      <w:lvlJc w:val="left"/>
      <w:lvlText w:val="(%2)"/>
      <w:numFmt w:val="decimal"/>
      <w:start w:val="5"/>
    </w:lvl>
  </w:abstractNum>
  <w:abstractNum w:abstractNumId="96">
    <w:nsid w:val="4BEE5A5B"/>
    <w:multiLevelType w:val="hybridMultilevel"/>
    <w:lvl w:ilvl="0">
      <w:lvlJc w:val="left"/>
      <w:lvlText w:val="%1."/>
      <w:numFmt w:val="upperLetter"/>
      <w:start w:val="2"/>
    </w:lvl>
    <w:lvl w:ilvl="1">
      <w:lvlJc w:val="left"/>
      <w:lvlText w:val="(%2)"/>
      <w:numFmt w:val="decimal"/>
      <w:start w:val="6"/>
    </w:lvl>
  </w:abstractNum>
  <w:abstractNum w:abstractNumId="97">
    <w:nsid w:val="5551B9F3"/>
    <w:multiLevelType w:val="hybridMultilevel"/>
    <w:lvl w:ilvl="0">
      <w:lvlJc w:val="left"/>
      <w:lvlText w:val="%1."/>
      <w:numFmt w:val="upperLetter"/>
      <w:start w:val="2"/>
    </w:lvl>
    <w:lvl w:ilvl="1">
      <w:lvlJc w:val="left"/>
      <w:lvlText w:val="(%2)"/>
      <w:numFmt w:val="decimal"/>
      <w:start w:val="7"/>
    </w:lvl>
  </w:abstractNum>
  <w:abstractNum w:abstractNumId="98">
    <w:nsid w:val="24F6AB8E"/>
    <w:multiLevelType w:val="hybridMultilevel"/>
    <w:lvl w:ilvl="0">
      <w:lvlJc w:val="left"/>
      <w:lvlText w:val="%1"/>
      <w:numFmt w:val="upperLetter"/>
      <w:start w:val="1"/>
    </w:lvl>
    <w:lvl w:ilvl="1">
      <w:lvlJc w:val="left"/>
      <w:lvlText w:val="(%2)"/>
      <w:numFmt w:val="decimal"/>
      <w:start w:val="8"/>
    </w:lvl>
  </w:abstractNum>
  <w:abstractNum w:abstractNumId="99">
    <w:nsid w:val="634C574C"/>
    <w:multiLevelType w:val="hybridMultilevel"/>
    <w:lvl w:ilvl="0">
      <w:lvlJc w:val="left"/>
      <w:lvlText w:val="%1."/>
      <w:numFmt w:val="upperLetter"/>
      <w:start w:val="3"/>
    </w:lvl>
    <w:lvl w:ilvl="1">
      <w:lvlJc w:val="left"/>
      <w:lvlText w:val="%2"/>
      <w:numFmt w:val="decimal"/>
      <w:start w:val="1"/>
    </w:lvl>
  </w:abstractNum>
  <w:abstractNum w:abstractNumId="100">
    <w:nsid w:val="24E99DD7"/>
    <w:multiLevelType w:val="hybridMultilevel"/>
    <w:lvl w:ilvl="0">
      <w:lvlJc w:val="left"/>
      <w:lvlText w:val="(%1)"/>
      <w:numFmt w:val="decimal"/>
      <w:start w:val="1"/>
    </w:lvl>
  </w:abstractNum>
  <w:abstractNum w:abstractNumId="101">
    <w:nsid w:val="2A31B62D"/>
    <w:multiLevelType w:val="hybridMultilevel"/>
    <w:lvl w:ilvl="0">
      <w:lvlJc w:val="left"/>
      <w:lvlText w:val="%1."/>
      <w:numFmt w:val="upperLetter"/>
      <w:start w:val="5"/>
    </w:lvl>
    <w:lvl w:ilvl="1">
      <w:lvlJc w:val="left"/>
      <w:lvlText w:val="(%2)"/>
      <w:numFmt w:val="decimal"/>
      <w:start w:val="1"/>
    </w:lvl>
  </w:abstractNum>
  <w:abstractNum w:abstractNumId="102">
    <w:nsid w:val="1849C29B"/>
    <w:multiLevelType w:val="hybridMultilevel"/>
    <w:lvl w:ilvl="0">
      <w:lvlJc w:val="left"/>
      <w:lvlText w:val="%1."/>
      <w:numFmt w:val="upperLetter"/>
      <w:start w:val="5"/>
    </w:lvl>
    <w:lvl w:ilvl="1">
      <w:lvlJc w:val="left"/>
      <w:lvlText w:val="(%2)"/>
      <w:numFmt w:val="decimal"/>
      <w:start w:val="4"/>
    </w:lvl>
    <w:lvl w:ilvl="2">
      <w:lvlJc w:val="left"/>
      <w:lvlText w:val="%3)"/>
      <w:numFmt w:val="lowerLetter"/>
      <w:start w:val="1"/>
    </w:lvl>
  </w:abstractNum>
  <w:abstractNum w:abstractNumId="103">
    <w:nsid w:val="7DFF9D09"/>
    <w:multiLevelType w:val="hybridMultilevel"/>
    <w:lvl w:ilvl="0">
      <w:lvlJc w:val="left"/>
      <w:lvlText w:val="%1."/>
      <w:numFmt w:val="upperLetter"/>
      <w:start w:val="5"/>
    </w:lvl>
    <w:lvl w:ilvl="1">
      <w:lvlJc w:val="left"/>
      <w:lvlText w:val="(%2)"/>
      <w:numFmt w:val="decimal"/>
      <w:start w:val="4"/>
    </w:lvl>
    <w:lvl w:ilvl="2">
      <w:lvlJc w:val="left"/>
      <w:lvlText w:val="%3)"/>
      <w:numFmt w:val="lowerLetter"/>
      <w:start w:val="4"/>
    </w:lvl>
  </w:abstractNum>
  <w:abstractNum w:abstractNumId="104">
    <w:nsid w:val="754342"/>
    <w:multiLevelType w:val="hybridMultilevel"/>
    <w:lvl w:ilvl="0">
      <w:lvlJc w:val="left"/>
      <w:lvlText w:val="%1."/>
      <w:numFmt w:val="upperLetter"/>
      <w:start w:val="5"/>
    </w:lvl>
    <w:lvl w:ilvl="1">
      <w:lvlJc w:val="left"/>
      <w:lvlText w:val="(%2)"/>
      <w:numFmt w:val="decimal"/>
      <w:start w:val="5"/>
    </w:lvl>
    <w:lvl w:ilvl="2">
      <w:lvlJc w:val="left"/>
      <w:lvlText w:val="%3)"/>
      <w:numFmt w:val="lowerLetter"/>
      <w:start w:val="10"/>
    </w:lvl>
  </w:abstractNum>
  <w:abstractNum w:abstractNumId="105">
    <w:nsid w:val="69E7F3E5"/>
    <w:multiLevelType w:val="hybridMultilevel"/>
    <w:lvl w:ilvl="0">
      <w:lvlJc w:val="left"/>
      <w:lvlText w:val="%1."/>
      <w:numFmt w:val="upperLetter"/>
      <w:start w:val="1"/>
    </w:lvl>
  </w:abstractNum>
  <w:abstractNum w:abstractNumId="106">
    <w:nsid w:val="2A6DE806"/>
    <w:multiLevelType w:val="hybridMultilevel"/>
    <w:lvl w:ilvl="0">
      <w:lvlJc w:val="left"/>
      <w:lvlText w:val="%1."/>
      <w:numFmt w:val="upperLetter"/>
      <w:start w:val="3"/>
    </w:lvl>
  </w:abstractNum>
  <w:abstractNum w:abstractNumId="107">
    <w:nsid w:val="1816F8C4"/>
    <w:multiLevelType w:val="hybridMultilevel"/>
    <w:lvl w:ilvl="0">
      <w:lvlJc w:val="left"/>
      <w:lvlText w:val="%1."/>
      <w:numFmt w:val="upperLetter"/>
      <w:start w:val="4"/>
    </w:lvl>
  </w:abstractNum>
  <w:abstractNum w:abstractNumId="108">
    <w:nsid w:val="37DF2233"/>
    <w:multiLevelType w:val="hybridMultilevel"/>
    <w:lvl w:ilvl="0">
      <w:lvlJc w:val="left"/>
      <w:lvlText w:val="%1."/>
      <w:numFmt w:val="upperLetter"/>
      <w:start w:val="1"/>
    </w:lvl>
  </w:abstractNum>
  <w:abstractNum w:abstractNumId="109">
    <w:nsid w:val="7AB49DAF"/>
    <w:multiLevelType w:val="hybridMultilevel"/>
    <w:lvl w:ilvl="0">
      <w:lvlJc w:val="left"/>
      <w:lvlText w:val="%1."/>
      <w:numFmt w:val="upperLetter"/>
      <w:start w:val="2"/>
    </w:lvl>
  </w:abstractNum>
  <w:abstractNum w:abstractNumId="110">
    <w:nsid w:val="759F82CD"/>
    <w:multiLevelType w:val="hybridMultilevel"/>
    <w:lvl w:ilvl="0">
      <w:lvlJc w:val="left"/>
      <w:lvlText w:val="%1."/>
      <w:numFmt w:val="upperLetter"/>
      <w:start w:val="1"/>
    </w:lvl>
    <w:lvl w:ilvl="1">
      <w:lvlJc w:val="left"/>
      <w:lvlText w:val="%2."/>
      <w:numFmt w:val="decimal"/>
      <w:start w:val="1"/>
    </w:lvl>
  </w:abstractNum>
  <w:abstractNum w:abstractNumId="111">
    <w:nsid w:val="61E74EA3"/>
    <w:multiLevelType w:val="hybridMultilevel"/>
    <w:lvl w:ilvl="0">
      <w:lvlJc w:val="left"/>
      <w:lvlText w:val="%1."/>
      <w:numFmt w:val="decimal"/>
      <w:start w:val="4"/>
    </w:lvl>
  </w:abstractNum>
  <w:abstractNum w:abstractNumId="112">
    <w:nsid w:val="597B4D84"/>
    <w:multiLevelType w:val="hybridMultilevel"/>
    <w:lvl w:ilvl="0">
      <w:lvlJc w:val="left"/>
      <w:lvlText w:val="%1."/>
      <w:numFmt w:val="upperLetter"/>
      <w:start w:val="1"/>
    </w:lvl>
  </w:abstractNum>
  <w:abstractNum w:abstractNumId="113">
    <w:nsid w:val="F819E7F"/>
    <w:multiLevelType w:val="hybridMultilevel"/>
    <w:lvl w:ilvl="0">
      <w:lvlJc w:val="left"/>
      <w:lvlText w:val="%1."/>
      <w:numFmt w:val="upperLetter"/>
      <w:start w:val="4"/>
    </w:lvl>
  </w:abstractNum>
  <w:abstractNum w:abstractNumId="114">
    <w:nsid w:val="57C7D42D"/>
    <w:multiLevelType w:val="hybridMultilevel"/>
    <w:lvl w:ilvl="0">
      <w:lvlJc w:val="left"/>
      <w:lvlText w:val="●"/>
      <w:numFmt w:val="bullet"/>
      <w:start w:val="1"/>
    </w:lvl>
  </w:abstractNum>
  <w:abstractNum w:abstractNumId="115">
    <w:nsid w:val="312167AD"/>
    <w:multiLevelType w:val="hybridMultilevel"/>
    <w:lvl w:ilvl="0">
      <w:lvlJc w:val="left"/>
      <w:lvlText w:val="●"/>
      <w:numFmt w:val="bullet"/>
      <w:start w:val="1"/>
    </w:lvl>
  </w:abstractNum>
  <w:abstractNum w:abstractNumId="116">
    <w:nsid w:val="631B64D4"/>
    <w:multiLevelType w:val="hybridMultilevel"/>
    <w:lvl w:ilvl="0">
      <w:lvlJc w:val="left"/>
      <w:lvlText w:val="%1."/>
      <w:numFmt w:val="lowerLetter"/>
      <w:start w:val="1"/>
    </w:lvl>
    <w:lvl w:ilvl="1">
      <w:lvlJc w:val="left"/>
      <w:lvlText w:val="%2."/>
      <w:numFmt w:val="decimal"/>
      <w:start w:val="1"/>
    </w:lvl>
  </w:abstractNum>
  <w:abstractNum w:abstractNumId="117">
    <w:nsid w:val="78B5E776"/>
    <w:multiLevelType w:val="hybridMultilevel"/>
    <w:lvl w:ilvl="0">
      <w:lvlJc w:val="left"/>
      <w:lvlText w:val="%1"/>
      <w:numFmt w:val="lowerLetter"/>
      <w:start w:val="1"/>
    </w:lvl>
    <w:lvl w:ilvl="1">
      <w:lvlJc w:val="left"/>
      <w:lvlText w:val="%2."/>
      <w:numFmt w:val="decimal"/>
      <w:start w:val="8"/>
    </w:lvl>
  </w:abstractNum>
  <w:abstractNum w:abstractNumId="118">
    <w:nsid w:val="75486E47"/>
    <w:multiLevelType w:val="hybridMultilevel"/>
    <w:lvl w:ilvl="0">
      <w:lvlJc w:val="left"/>
      <w:lvlText w:val="%1."/>
      <w:numFmt w:val="decimal"/>
      <w:start w:val="10"/>
    </w:lvl>
  </w:abstractNum>
  <w:abstractNum w:abstractNumId="119">
    <w:nsid w:val="6E534CDE"/>
    <w:multiLevelType w:val="hybridMultilevel"/>
    <w:lvl w:ilvl="0">
      <w:lvlJc w:val="left"/>
      <w:lvlText w:val="(*)"/>
      <w:numFmt w:val="bullet"/>
      <w:start w:val="1"/>
    </w:lvl>
  </w:abstractNum>
  <w:abstractNum w:abstractNumId="120">
    <w:nsid w:val="1A0DDE32"/>
    <w:multiLevelType w:val="hybridMultilevel"/>
    <w:lvl w:ilvl="0">
      <w:lvlJc w:val="left"/>
      <w:lvlText w:val="1"/>
      <w:numFmt w:val="bullet"/>
      <w:start w:val="1"/>
    </w:lvl>
  </w:abstractNum>
  <w:abstractNum w:abstractNumId="121">
    <w:nsid w:val="65968C1C"/>
    <w:multiLevelType w:val="hybridMultilevel"/>
    <w:lvl w:ilvl="0">
      <w:lvlJc w:val="left"/>
      <w:lvlText w:val="%1"/>
      <w:numFmt w:val="lowerLetter"/>
      <w:start w:val="1"/>
    </w:lvl>
    <w:lvl w:ilvl="1">
      <w:lvlJc w:val="left"/>
      <w:lvlText w:val="%2."/>
      <w:numFmt w:val="decimal"/>
      <w:start w:val="13"/>
    </w:lvl>
  </w:abstractNum>
  <w:abstractNum w:abstractNumId="122">
    <w:nsid w:val="46263DEC"/>
    <w:multiLevelType w:val="hybridMultilevel"/>
    <w:lvl w:ilvl="0">
      <w:lvlJc w:val="left"/>
      <w:lvlText w:val="3"/>
      <w:numFmt w:val="bullet"/>
      <w:start w:val="1"/>
    </w:lvl>
  </w:abstractNum>
  <w:abstractNum w:abstractNumId="123">
    <w:nsid w:val="260D8C4A"/>
    <w:multiLevelType w:val="hybridMultilevel"/>
    <w:lvl w:ilvl="0">
      <w:lvlJc w:val="left"/>
      <w:lvlText w:val="%1."/>
      <w:numFmt w:val="decimal"/>
      <w:start w:val="15"/>
    </w:lvl>
  </w:abstractNum>
  <w:abstractNum w:abstractNumId="124">
    <w:nsid w:val="73D4D3C4"/>
    <w:multiLevelType w:val="hybridMultilevel"/>
    <w:lvl w:ilvl="0">
      <w:lvlJc w:val="left"/>
      <w:lvlText w:val="%1."/>
      <w:numFmt w:val="decimal"/>
      <w:start w:val="19"/>
    </w:lvl>
  </w:abstractNum>
  <w:abstractNum w:abstractNumId="125">
    <w:nsid w:val="746F2E30"/>
    <w:multiLevelType w:val="hybridMultilevel"/>
    <w:lvl w:ilvl="0">
      <w:lvlJc w:val="left"/>
      <w:lvlText w:val="%1."/>
      <w:numFmt w:val="lowerLetter"/>
      <w:start w:val="4"/>
    </w:lvl>
  </w:abstractNum>
  <w:abstractNum w:abstractNumId="126">
    <w:nsid w:val="6FDE8AF6"/>
    <w:multiLevelType w:val="hybridMultilevel"/>
    <w:lvl w:ilvl="0">
      <w:lvlJc w:val="left"/>
      <w:lvlText w:val="%1."/>
      <w:numFmt w:val="decimal"/>
      <w:start w:val="20"/>
    </w:lvl>
  </w:abstractNum>
  <w:abstractNum w:abstractNumId="127">
    <w:nsid w:val="3FC32E20"/>
    <w:multiLevelType w:val="hybridMultilevel"/>
    <w:lvl w:ilvl="0">
      <w:lvlJc w:val="left"/>
      <w:lvlText w:val="%1."/>
      <w:numFmt w:val="decimal"/>
      <w:start w:val="21"/>
    </w:lvl>
  </w:abstractNum>
  <w:abstractNum w:abstractNumId="128">
    <w:nsid w:val="49C0E823"/>
    <w:multiLevelType w:val="hybridMultilevel"/>
    <w:lvl w:ilvl="0">
      <w:lvlJc w:val="left"/>
      <w:lvlText w:val="%1."/>
      <w:numFmt w:val="decimal"/>
      <w:start w:val="22"/>
    </w:lvl>
    <w:lvl w:ilvl="1">
      <w:lvlJc w:val="left"/>
      <w:lvlText w:val="(%2)"/>
      <w:numFmt w:val="lowerLetter"/>
      <w:start w:val="1"/>
    </w:lvl>
  </w:abstractNum>
  <w:abstractNum w:abstractNumId="129">
    <w:nsid w:val="14D53685"/>
    <w:multiLevelType w:val="hybridMultilevel"/>
    <w:lvl w:ilvl="0">
      <w:lvlJc w:val="left"/>
      <w:lvlText w:val="%1."/>
      <w:numFmt w:val="decimal"/>
      <w:start w:val="23"/>
    </w:lvl>
  </w:abstractNum>
  <w:abstractNum w:abstractNumId="130">
    <w:nsid w:val="230F856C"/>
    <w:multiLevelType w:val="hybridMultilevel"/>
    <w:lvl w:ilvl="0">
      <w:lvlJc w:val="left"/>
      <w:lvlText w:val="%1."/>
      <w:numFmt w:val="decimal"/>
      <w:start w:val="26"/>
    </w:lvl>
  </w:abstractNum>
  <w:abstractNum w:abstractNumId="131">
    <w:nsid w:val="6EAA85FB"/>
    <w:multiLevelType w:val="hybridMultilevel"/>
    <w:lvl w:ilvl="0">
      <w:lvlJc w:val="left"/>
      <w:lvlText w:val="%1."/>
      <w:numFmt w:val="decimal"/>
      <w:start w:val="28"/>
    </w:lvl>
  </w:abstractNum>
  <w:abstractNum w:abstractNumId="132">
    <w:nsid w:val="3F06ECB2"/>
    <w:multiLevelType w:val="hybridMultilevel"/>
    <w:lvl w:ilvl="0">
      <w:lvlJc w:val="left"/>
      <w:lvlText w:val="%1"/>
      <w:numFmt w:val="lowerLetter"/>
      <w:start w:val="1"/>
    </w:lvl>
    <w:lvl w:ilvl="1">
      <w:lvlJc w:val="left"/>
      <w:lvlText w:val="%2."/>
      <w:numFmt w:val="decimal"/>
      <w:start w:val="30"/>
    </w:lvl>
  </w:abstractNum>
  <w:abstractNum w:abstractNumId="133">
    <w:nsid w:val="3B594807"/>
    <w:multiLevelType w:val="hybridMultilevel"/>
    <w:lvl w:ilvl="0">
      <w:lvlJc w:val="left"/>
      <w:lvlText w:val="%1."/>
      <w:numFmt w:val="lowerLetter"/>
      <w:start w:val="5"/>
    </w:lvl>
    <w:lvl w:ilvl="1">
      <w:lvlJc w:val="left"/>
      <w:lvlText w:val="%2."/>
      <w:numFmt w:val="decimal"/>
      <w:start w:val="32"/>
    </w:lvl>
  </w:abstractNum>
  <w:abstractNum w:abstractNumId="134">
    <w:nsid w:val="6CAA2304"/>
    <w:multiLevelType w:val="hybridMultilevel"/>
    <w:lvl w:ilvl="0">
      <w:lvlJc w:val="left"/>
      <w:lvlText w:val="%1"/>
      <w:numFmt w:val="lowerLetter"/>
      <w:start w:val="1"/>
    </w:lvl>
    <w:lvl w:ilvl="1">
      <w:lvlJc w:val="left"/>
      <w:lvlText w:val="%2."/>
      <w:numFmt w:val="decimal"/>
      <w:start w:val="35"/>
    </w:lvl>
  </w:abstractNum>
  <w:abstractNum w:abstractNumId="135">
    <w:nsid w:val="3F7C2FF4"/>
    <w:multiLevelType w:val="hybridMultilevel"/>
    <w:lvl w:ilvl="0">
      <w:lvlJc w:val="left"/>
      <w:lvlText w:val="%1."/>
      <w:numFmt w:val="decimal"/>
      <w:start w:val="36"/>
    </w:lvl>
  </w:abstractNum>
  <w:abstractNum w:abstractNumId="136">
    <w:nsid w:val="25413BEC"/>
    <w:multiLevelType w:val="hybridMultilevel"/>
    <w:lvl w:ilvl="0">
      <w:lvlJc w:val="left"/>
      <w:lvlText w:val="%1."/>
      <w:numFmt w:val="decimal"/>
      <w:start w:val="39"/>
    </w:lvl>
  </w:abstractNum>
  <w:abstractNum w:abstractNumId="137">
    <w:nsid w:val="17180B0B"/>
    <w:multiLevelType w:val="hybridMultilevel"/>
    <w:lvl w:ilvl="0">
      <w:lvlJc w:val="left"/>
      <w:lvlText w:val="4"/>
      <w:numFmt w:val="bullet"/>
      <w:start w:val="1"/>
    </w:lvl>
  </w:abstractNum>
  <w:abstractNum w:abstractNumId="138">
    <w:nsid w:val="579328B9"/>
    <w:multiLevelType w:val="hybridMultilevel"/>
    <w:lvl w:ilvl="0">
      <w:lvlJc w:val="left"/>
      <w:lvlText w:val="%1"/>
      <w:numFmt w:val="lowerLetter"/>
      <w:start w:val="1"/>
    </w:lvl>
    <w:lvl w:ilvl="1">
      <w:lvlJc w:val="left"/>
      <w:lvlText w:val="%2."/>
      <w:numFmt w:val="decimal"/>
      <w:start w:val="40"/>
    </w:lvl>
  </w:abstractNum>
  <w:abstractNum w:abstractNumId="139">
    <w:nsid w:val="5D205E20"/>
    <w:multiLevelType w:val="hybridMultilevel"/>
    <w:lvl w:ilvl="0">
      <w:lvlJc w:val="left"/>
      <w:lvlText w:val="%1."/>
      <w:numFmt w:val="lowerLetter"/>
      <w:start w:val="7"/>
    </w:lvl>
    <w:lvl w:ilvl="1">
      <w:lvlJc w:val="left"/>
      <w:lvlText w:val="%2."/>
      <w:numFmt w:val="decimal"/>
      <w:start w:val="44"/>
    </w:lvl>
  </w:abstractNum>
  <w:abstractNum w:abstractNumId="140">
    <w:nsid w:val="11CCA8BA"/>
    <w:multiLevelType w:val="hybridMultilevel"/>
    <w:lvl w:ilvl="0">
      <w:lvlJc w:val="left"/>
      <w:lvlText w:val="%1."/>
      <w:numFmt w:val="lowerLetter"/>
      <w:start w:val="8"/>
    </w:lvl>
    <w:lvl w:ilvl="1">
      <w:lvlJc w:val="left"/>
      <w:lvlText w:val="%2."/>
      <w:numFmt w:val="decimal"/>
      <w:start w:val="47"/>
    </w:lvl>
  </w:abstractNum>
  <w:abstractNum w:abstractNumId="141">
    <w:nsid w:val="4D32AB86"/>
    <w:multiLevelType w:val="hybridMultilevel"/>
    <w:lvl w:ilvl="0">
      <w:lvlJc w:val="left"/>
      <w:lvlText w:val="%1"/>
      <w:numFmt w:val="lowerLetter"/>
      <w:start w:val="1"/>
    </w:lvl>
    <w:lvl w:ilvl="1">
      <w:lvlJc w:val="left"/>
      <w:lvlText w:val="%2."/>
      <w:numFmt w:val="decimal"/>
      <w:start w:val="51"/>
    </w:lvl>
  </w:abstractNum>
  <w:abstractNum w:abstractNumId="142">
    <w:nsid w:val="3F07ACC3"/>
    <w:multiLevelType w:val="hybridMultilevel"/>
    <w:lvl w:ilvl="0">
      <w:lvlJc w:val="left"/>
      <w:lvlText w:val="%1"/>
      <w:numFmt w:val="lowerLetter"/>
      <w:start w:val="1"/>
    </w:lvl>
    <w:lvl w:ilvl="1">
      <w:lvlJc w:val="left"/>
      <w:lvlText w:val="%2."/>
      <w:numFmt w:val="decimal"/>
      <w:start w:val="52"/>
    </w:lvl>
  </w:abstractNum>
  <w:abstractNum w:abstractNumId="143">
    <w:nsid w:val="6B47F63E"/>
    <w:multiLevelType w:val="hybridMultilevel"/>
    <w:lvl w:ilvl="0">
      <w:lvlJc w:val="left"/>
      <w:lvlText w:val="%1."/>
      <w:numFmt w:val="lowerLetter"/>
      <w:start w:val="10"/>
    </w:lvl>
    <w:lvl w:ilvl="1">
      <w:lvlJc w:val="left"/>
      <w:lvlText w:val="%2."/>
      <w:numFmt w:val="decimal"/>
      <w:start w:val="54"/>
    </w:lvl>
  </w:abstractNum>
  <w:abstractNum w:abstractNumId="144">
    <w:nsid w:val="5CB44A05"/>
    <w:multiLevelType w:val="hybridMultilevel"/>
    <w:lvl w:ilvl="0">
      <w:lvlJc w:val="left"/>
      <w:lvlText w:val="%1."/>
      <w:numFmt w:val="decimal"/>
      <w:start w:val="1"/>
    </w:lvl>
  </w:abstractNum>
  <w:abstractNum w:abstractNumId="145">
    <w:nsid w:val="16CF80F1"/>
    <w:multiLevelType w:val="hybridMultilevel"/>
    <w:lvl w:ilvl="0">
      <w:lvlJc w:val="left"/>
      <w:lvlText w:val="%1."/>
      <w:numFmt w:val="decimal"/>
      <w:start w:val="2"/>
    </w:lvl>
  </w:abstractNum>
  <w:abstractNum w:abstractNumId="146">
    <w:nsid w:val="1C695DEC"/>
    <w:multiLevelType w:val="hybridMultilevel"/>
    <w:lvl w:ilvl="0">
      <w:lvlJc w:val="left"/>
      <w:lvlText w:val="%1."/>
      <w:numFmt w:val="decimal"/>
      <w:start w:val="3"/>
    </w:lvl>
  </w:abstractNum>
  <w:abstractNum w:abstractNumId="147">
    <w:nsid w:val="3FCFAED9"/>
    <w:multiLevelType w:val="hybridMultilevel"/>
    <w:lvl w:ilvl="0">
      <w:lvlJc w:val="left"/>
      <w:lvlText w:val="%1."/>
      <w:numFmt w:val="decimal"/>
      <w:start w:val="4"/>
    </w:lvl>
  </w:abstractNum>
  <w:abstractNum w:abstractNumId="148">
    <w:nsid w:val="F856867"/>
    <w:multiLevelType w:val="hybridMultilevel"/>
    <w:lvl w:ilvl="0">
      <w:lvlJc w:val="left"/>
      <w:lvlText w:val="%1."/>
      <w:numFmt w:val="decimal"/>
      <w:start w:val="5"/>
    </w:lvl>
  </w:abstractNum>
  <w:abstractNum w:abstractNumId="149">
    <w:nsid w:val="11B1CC33"/>
    <w:multiLevelType w:val="hybridMultilevel"/>
    <w:lvl w:ilvl="0">
      <w:lvlJc w:val="left"/>
      <w:lvlText w:val="%1."/>
      <w:numFmt w:val="decimal"/>
      <w:start w:val="6"/>
    </w:lvl>
  </w:abstractNum>
  <w:abstractNum w:abstractNumId="150">
    <w:nsid w:val="2E22FBB7"/>
    <w:multiLevelType w:val="hybridMultilevel"/>
    <w:lvl w:ilvl="0">
      <w:lvlJc w:val="left"/>
      <w:lvlText w:val="%1."/>
      <w:numFmt w:val="decimal"/>
      <w:start w:val="7"/>
    </w:lvl>
  </w:abstractNum>
  <w:abstractNum w:abstractNumId="151">
    <w:nsid w:val="29934699"/>
    <w:multiLevelType w:val="hybridMultilevel"/>
    <w:lvl w:ilvl="0">
      <w:lvlJc w:val="left"/>
      <w:lvlText w:val="%1."/>
      <w:numFmt w:val="decimal"/>
      <w:start w:val="8"/>
    </w:lvl>
  </w:abstractNum>
  <w:abstractNum w:abstractNumId="152">
    <w:nsid w:val="77485850"/>
    <w:multiLevelType w:val="hybridMultilevel"/>
    <w:lvl w:ilvl="0">
      <w:lvlJc w:val="left"/>
      <w:lvlText w:val="%1."/>
      <w:numFmt w:val="decimal"/>
      <w:start w:val="9"/>
    </w:lvl>
  </w:abstractNum>
  <w:abstractNum w:abstractNumId="153">
    <w:nsid w:val="744939A3"/>
    <w:multiLevelType w:val="hybridMultilevel"/>
    <w:lvl w:ilvl="0">
      <w:lvlJc w:val="left"/>
      <w:lvlText w:val="%1."/>
      <w:numFmt w:val="decimal"/>
      <w:start w:val="10"/>
    </w:lvl>
  </w:abstractNum>
  <w:abstractNum w:abstractNumId="154">
    <w:nsid w:val="4FA0D2E3"/>
    <w:multiLevelType w:val="hybridMultilevel"/>
    <w:lvl w:ilvl="0">
      <w:lvlJc w:val="left"/>
      <w:lvlText w:val="%1."/>
      <w:numFmt w:val="decimal"/>
      <w:start w:val="11"/>
    </w:lvl>
  </w:abstractNum>
  <w:abstractNum w:abstractNumId="155">
    <w:nsid w:val="6B1D2C14"/>
    <w:multiLevelType w:val="hybridMultilevel"/>
    <w:lvl w:ilvl="0">
      <w:lvlJc w:val="left"/>
      <w:lvlText w:val="%1."/>
      <w:numFmt w:val="decimal"/>
      <w:start w:val="1"/>
    </w:lvl>
  </w:abstractNum>
  <w:abstractNum w:abstractNumId="156">
    <w:nsid w:val="68B867D3"/>
    <w:multiLevelType w:val="hybridMultilevel"/>
    <w:lvl w:ilvl="0">
      <w:lvlJc w:val="left"/>
      <w:lvlText w:val="%1."/>
      <w:numFmt w:val="decimal"/>
      <w:start w:val="2"/>
    </w:lvl>
  </w:abstractNum>
  <w:abstractNum w:abstractNumId="157">
    <w:nsid w:val="3F7F5DD9"/>
    <w:multiLevelType w:val="hybridMultilevel"/>
    <w:lvl w:ilvl="0">
      <w:lvlJc w:val="left"/>
      <w:lvlText w:val="%1"/>
      <w:numFmt w:val="decimal"/>
      <w:start w:val="1"/>
    </w:lvl>
    <w:lvl w:ilvl="1">
      <w:lvlJc w:val="left"/>
      <w:lvlText w:val="(%2)"/>
      <w:numFmt w:val="lowerLetter"/>
      <w:start w:val="2"/>
    </w:lvl>
  </w:abstractNum>
  <w:abstractNum w:abstractNumId="158">
    <w:nsid w:val="2AE05A34"/>
    <w:multiLevelType w:val="hybridMultilevel"/>
    <w:lvl w:ilvl="0">
      <w:lvlJc w:val="left"/>
      <w:lvlText w:val="%1."/>
      <w:numFmt w:val="decimal"/>
      <w:start w:val="3"/>
    </w:lvl>
    <w:lvl w:ilvl="1">
      <w:lvlJc w:val="left"/>
      <w:lvlText w:val="%2"/>
      <w:numFmt w:val="lowerLetter"/>
      <w:start w:val="1"/>
    </w:lvl>
  </w:abstractNum>
  <w:abstractNum w:abstractNumId="159">
    <w:nsid w:val="32794FF7"/>
    <w:multiLevelType w:val="hybridMultilevel"/>
    <w:lvl w:ilvl="0">
      <w:lvlJc w:val="left"/>
      <w:lvlText w:val="%1."/>
      <w:numFmt w:val="decimal"/>
      <w:start w:val="1"/>
    </w:lvl>
  </w:abstractNum>
  <w:abstractNum w:abstractNumId="160">
    <w:nsid w:val="5454945E"/>
    <w:multiLevelType w:val="hybridMultilevel"/>
    <w:lvl w:ilvl="0">
      <w:lvlJc w:val="left"/>
      <w:lvlText w:val="%1."/>
      <w:numFmt w:val="lowerLetter"/>
      <w:start w:val="1"/>
    </w:lvl>
  </w:abstractNum>
  <w:abstractNum w:abstractNumId="161">
    <w:nsid w:val="4DEFDFA0"/>
    <w:multiLevelType w:val="hybridMultilevel"/>
    <w:lvl w:ilvl="0">
      <w:lvlJc w:val="left"/>
      <w:lvlText w:val="%1."/>
      <w:numFmt w:val="lowerLetter"/>
      <w:start w:val="4"/>
    </w:lvl>
  </w:abstractNum>
  <w:abstractNum w:abstractNumId="162">
    <w:nsid w:val="2123D5F2"/>
    <w:multiLevelType w:val="hybridMultilevel"/>
    <w:lvl w:ilvl="0">
      <w:lvlJc w:val="left"/>
      <w:lvlText w:val="%1."/>
      <w:numFmt w:val="decimal"/>
      <w:start w:val="2"/>
    </w:lvl>
  </w:abstractNum>
  <w:abstractNum w:abstractNumId="163">
    <w:nsid w:val="135B8110"/>
    <w:multiLevelType w:val="hybridMultilevel"/>
    <w:lvl w:ilvl="0">
      <w:lvlJc w:val="left"/>
      <w:lvlText w:val="%1."/>
      <w:numFmt w:val="decimal"/>
      <w:start w:val="3"/>
    </w:lvl>
  </w:abstractNum>
  <w:abstractNum w:abstractNumId="164">
    <w:nsid w:val="94927A8"/>
    <w:multiLevelType w:val="hybridMultilevel"/>
    <w:lvl w:ilvl="0">
      <w:lvlJc w:val="left"/>
      <w:lvlText w:val="(%1)"/>
      <w:numFmt w:val="lowerLetter"/>
      <w:start w:val="1"/>
    </w:lvl>
  </w:abstractNum>
  <w:abstractNum w:abstractNumId="165">
    <w:nsid w:val="DCDF8F6"/>
    <w:multiLevelType w:val="hybridMultilevel"/>
    <w:lvl w:ilvl="0">
      <w:lvlJc w:val="left"/>
      <w:lvlText w:val="(%1)"/>
      <w:numFmt w:val="lowerLetter"/>
      <w:start w:val="4"/>
    </w:lvl>
  </w:abstractNum>
  <w:abstractNum w:abstractNumId="166">
    <w:nsid w:val="52D7B105"/>
    <w:multiLevelType w:val="hybridMultilevel"/>
    <w:lvl w:ilvl="0">
      <w:lvlJc w:val="left"/>
      <w:lvlText w:val="(%1)"/>
      <w:numFmt w:val="lowerLetter"/>
      <w:start w:val="1"/>
    </w:lvl>
  </w:abstractNum>
  <w:abstractNum w:abstractNumId="167">
    <w:nsid w:val="2E8A6394"/>
    <w:multiLevelType w:val="hybridMultilevel"/>
    <w:lvl w:ilvl="0">
      <w:lvlJc w:val="left"/>
      <w:lvlText w:val="(%1)"/>
      <w:numFmt w:val="lowerLetter"/>
      <w:start w:val="3"/>
    </w:lvl>
  </w:abstractNum>
  <w:abstractNum w:abstractNumId="168">
    <w:nsid w:val="24E60401"/>
    <w:multiLevelType w:val="hybridMultilevel"/>
    <w:lvl w:ilvl="0">
      <w:lvlJc w:val="left"/>
      <w:lvlText w:val="%1."/>
      <w:numFmt w:val="decimal"/>
      <w:start w:val="1"/>
    </w:lvl>
  </w:abstractNum>
  <w:abstractNum w:abstractNumId="169">
    <w:nsid w:val="2A6AD9BE"/>
    <w:multiLevelType w:val="hybridMultilevel"/>
    <w:lvl w:ilvl="0">
      <w:lvlJc w:val="left"/>
      <w:lvlText w:val="%1."/>
      <w:numFmt w:val="decimal"/>
      <w:start w:val="2"/>
    </w:lvl>
  </w:abstractNum>
  <w:abstractNum w:abstractNumId="170">
    <w:nsid w:val="BAAC1B4"/>
    <w:multiLevelType w:val="hybridMultilevel"/>
    <w:lvl w:ilvl="0">
      <w:lvlJc w:val="left"/>
      <w:lvlText w:val="%1."/>
      <w:numFmt w:val="decimal"/>
      <w:start w:val="3"/>
    </w:lvl>
  </w:abstractNum>
  <w:abstractNum w:abstractNumId="171">
    <w:nsid w:val="36B2ACBC"/>
    <w:multiLevelType w:val="hybridMultilevel"/>
    <w:lvl w:ilvl="0">
      <w:lvlJc w:val="left"/>
      <w:lvlText w:val="%1."/>
      <w:numFmt w:val="decimal"/>
      <w:start w:val="4"/>
    </w:lvl>
  </w:abstractNum>
  <w:abstractNum w:abstractNumId="172">
    <w:nsid w:val="779D8544"/>
    <w:multiLevelType w:val="hybridMultilevel"/>
    <w:lvl w:ilvl="0">
      <w:lvlJc w:val="left"/>
      <w:lvlText w:val="%1."/>
      <w:numFmt w:val="decimal"/>
      <w:start w:val="1"/>
    </w:lvl>
  </w:abstractNum>
  <w:abstractNum w:abstractNumId="173">
    <w:nsid w:val="4AB26E78"/>
    <w:multiLevelType w:val="hybridMultilevel"/>
    <w:lvl w:ilvl="0">
      <w:lvlJc w:val="left"/>
      <w:lvlText w:val="%1."/>
      <w:numFmt w:val="decimal"/>
      <w:start w:val="1"/>
    </w:lvl>
    <w:lvl w:ilvl="1">
      <w:lvlJc w:val="left"/>
      <w:lvlText w:val="%2)"/>
      <w:numFmt w:val="lowerLetter"/>
      <w:start w:val="1"/>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jpeg"/><Relationship Id="rId151" Type="http://schemas.openxmlformats.org/officeDocument/2006/relationships/image" Target="media/image123.jpe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126" Type="http://schemas.openxmlformats.org/officeDocument/2006/relationships/hyperlink" Target="https://www.sec.gov/Archives/edgar/data/1743905/000121390024022842/ea020184201ex3-1_railvision.htm" TargetMode="External"/><Relationship Id="rId127" Type="http://schemas.openxmlformats.org/officeDocument/2006/relationships/hyperlink" Target="https://www.sec.gov/Archives/edgar/data/1743905/000121390022014921/ea156933ex4-3_railvision.htm" TargetMode="External"/><Relationship Id="rId128" Type="http://schemas.openxmlformats.org/officeDocument/2006/relationships/hyperlink" Target="https://www.sec.gov/Archives/edgar/data/1743905/000121390022014921/ea156933ex4-1_railvision.htm" TargetMode="External"/><Relationship Id="rId129" Type="http://schemas.openxmlformats.org/officeDocument/2006/relationships/hyperlink" Target="https://www.sec.gov/Archives/edgar/data/1743905/000121390022014921/ea156933ex4-2_railvision.htm" TargetMode="External"/><Relationship Id="rId130" Type="http://schemas.openxmlformats.org/officeDocument/2006/relationships/hyperlink" Target="https://www.sec.gov/Archives/edgar/data/1743905/000121390022014921/ea156933ex10-1_railvision.htm" TargetMode="External"/><Relationship Id="rId131" Type="http://schemas.openxmlformats.org/officeDocument/2006/relationships/hyperlink" Target="https://www.sec.gov/Archives/edgar/data/1743905/000121390024027359/ea020258401ex4-4_railvision.htm" TargetMode="External"/><Relationship Id="rId132" Type="http://schemas.openxmlformats.org/officeDocument/2006/relationships/hyperlink" Target="https://www.sec.gov/Archives/edgar/data/1743905/000121390023038312/ea178285ex10-1_railvision.htm" TargetMode="External"/><Relationship Id="rId133" Type="http://schemas.openxmlformats.org/officeDocument/2006/relationships/hyperlink" Target="https://www.sec.gov/Archives/edgar/data/1743905/000121390023038312/ea178285ex10-2_railvision.htm" TargetMode="External"/><Relationship Id="rId134" Type="http://schemas.openxmlformats.org/officeDocument/2006/relationships/hyperlink" Target="https://www.sec.gov/Archives/edgar/data/1743905/000121390023039329/ea178448ex10-1_railvision.htm" TargetMode="External"/><Relationship Id="rId135" Type="http://schemas.openxmlformats.org/officeDocument/2006/relationships/hyperlink" Target="https://www.sec.gov/Archives/edgar/data/1743905/000121390023038312/ea178285ex10-3_railvision.htm" TargetMode="External"/><Relationship Id="rId136" Type="http://schemas.openxmlformats.org/officeDocument/2006/relationships/hyperlink" Target="https://www.sec.gov/Archives/edgar/data/1743905/000121390023038312/ea178285ex10-4_railvision.htm" TargetMode="External"/><Relationship Id="rId137" Type="http://schemas.openxmlformats.org/officeDocument/2006/relationships/hyperlink" Target="https://www.sec.gov/Archives/edgar/data/1743905/000121390024008437/ea192499ex99-1_railvision.htm" TargetMode="External"/><Relationship Id="rId138" Type="http://schemas.openxmlformats.org/officeDocument/2006/relationships/hyperlink" Target="https://www.sec.gov/Archives/edgar/data/1743905/000121390024008437/ea192499ex99-2_railvision.htm" TargetMode="External"/><Relationship Id="rId139" Type="http://schemas.openxmlformats.org/officeDocument/2006/relationships/hyperlink" Target="https://www.sec.gov/Archives/edgar/data/1743905/000121390024008437/ea192499ex99-3_railvision.htm" TargetMode="External"/><Relationship Id="rId140" Type="http://schemas.openxmlformats.org/officeDocument/2006/relationships/hyperlink" Target="https://www.sec.gov/Archives/edgar/data/1743905/000121390024008437/ea192499ex99-4_railvision.htm" TargetMode="External"/><Relationship Id="rId141" Type="http://schemas.openxmlformats.org/officeDocument/2006/relationships/hyperlink" Target="https://www.sec.gov/Archives/edgar/data/1743905/000121390024002353/ea191381ex99-1_railvision.htm" TargetMode="External"/><Relationship Id="rId142" Type="http://schemas.openxmlformats.org/officeDocument/2006/relationships/hyperlink" Target="https://www.sec.gov/Archives/edgar/data/1743905/000121390024002353/ea191381ex99-2_railvision.htm" TargetMode="External"/><Relationship Id="rId143" Type="http://schemas.openxmlformats.org/officeDocument/2006/relationships/hyperlink" Target="https://www.sec.gov/Archives/edgar/data/1743905/000121390024085891/ea021608801ex10-1_railvision.htm" TargetMode="External"/><Relationship Id="rId144" Type="http://schemas.openxmlformats.org/officeDocument/2006/relationships/hyperlink" Target="https://www.sec.gov/Archives/edgar/data/1743905/000149315225008349/ex10-1.htm" TargetMode="External"/><Relationship Id="rId145" Type="http://schemas.openxmlformats.org/officeDocument/2006/relationships/hyperlink" Target="https://www.sec.gov/Archives/edgar/data/1743905/000121390024085891/ea021608801ex10-2_railvision.htm" TargetMode="External"/><Relationship Id="rId146" Type="http://schemas.openxmlformats.org/officeDocument/2006/relationships/hyperlink" Target="https://www.sec.gov/Archives/edgar/data/1743905/000121390024027359/ea020258401ex97-1_railvi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2025-03-31T16:38:30Z</dcterms:created>
  <dcterms:modified xsi:type="dcterms:W3CDTF">2025-03-31T16:38:30Z</dcterms:modified>
</cp:coreProperties>
</file>