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Rail Vision Ltd.</w:t>
      </w:r>
    </w:p>
    <w:p>
      <w:pPr>
        <w:spacing w:after="0" w:line="26"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0"/>
          <w:szCs w:val="20"/>
          <w:color w:val="auto"/>
        </w:rPr>
        <w:t>(Name of Issuer)</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Ordinary Shares, par value NIS 0.01 per share</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M8186D106</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September 30, 2024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ind w:left="780" w:hanging="124"/>
        <w:spacing w:after="0"/>
        <w:tabs>
          <w:tab w:leader="none" w:pos="78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Rule 13d-1(b)</w:t>
      </w:r>
    </w:p>
    <w:p>
      <w:pPr>
        <w:spacing w:after="0" w:line="229" w:lineRule="exact"/>
        <w:rPr>
          <w:rFonts w:ascii="Times New Roman" w:cs="Times New Roman" w:eastAsia="Times New Roman" w:hAnsi="Times New Roman"/>
          <w:sz w:val="20"/>
          <w:szCs w:val="20"/>
          <w:color w:val="auto"/>
        </w:rPr>
      </w:pPr>
    </w:p>
    <w:p>
      <w:pPr>
        <w:ind w:left="620" w:hanging="612"/>
        <w:spacing w:after="0"/>
        <w:tabs>
          <w:tab w:leader="none" w:pos="6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Rule 13d-1(c)</w:t>
      </w:r>
    </w:p>
    <w:p>
      <w:pPr>
        <w:spacing w:after="0" w:line="229" w:lineRule="exact"/>
        <w:rPr>
          <w:sz w:val="24"/>
          <w:szCs w:val="24"/>
          <w:color w:val="auto"/>
        </w:rPr>
      </w:pPr>
    </w:p>
    <w:p>
      <w:pPr>
        <w:ind w:left="780" w:hanging="124"/>
        <w:spacing w:after="0"/>
        <w:tabs>
          <w:tab w:leader="none" w:pos="7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Rule 13d-1(d)</w:t>
      </w:r>
    </w:p>
    <w:p>
      <w:pPr>
        <w:spacing w:after="0" w:line="229" w:lineRule="exact"/>
        <w:rPr>
          <w:rFonts w:ascii="Times New Roman" w:cs="Times New Roman" w:eastAsia="Times New Roman" w:hAnsi="Times New Roman"/>
          <w:sz w:val="20"/>
          <w:szCs w:val="20"/>
          <w:color w:val="auto"/>
        </w:rPr>
      </w:pPr>
    </w:p>
    <w:p>
      <w:pPr>
        <w:ind w:right="340"/>
        <w:spacing w:after="0" w:line="29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4" w:lineRule="exact"/>
        <w:rPr>
          <w:sz w:val="24"/>
          <w:szCs w:val="24"/>
          <w:color w:val="auto"/>
        </w:rPr>
      </w:pPr>
    </w:p>
    <w:p>
      <w:pPr>
        <w:ind w:right="260"/>
        <w:spacing w:after="0" w:line="273" w:lineRule="auto"/>
        <w:rPr>
          <w:sz w:val="20"/>
          <w:szCs w:val="20"/>
          <w:color w:val="auto"/>
        </w:rPr>
      </w:pPr>
      <w:r>
        <w:rPr>
          <w:rFonts w:ascii="Times New Roman" w:cs="Times New Roman" w:eastAsia="Times New Roman" w:hAnsi="Times New Roman"/>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7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320" w:top="680"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M8186D106</w:t>
      </w:r>
    </w:p>
    <w:p>
      <w:pPr>
        <w:spacing w:after="0" w:line="234"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Laurence W. Lytton</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USA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60,679</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60,679</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60,679</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0.3%</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IN</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M8186D106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w:t>
      </w:r>
    </w:p>
    <w:p>
      <w:pPr>
        <w:spacing w:after="0" w:line="207"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Rail Vision Ltd.</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15 Ha’Tidhar St, Ra’anana, 4366517 Israel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w:t>
      </w:r>
    </w:p>
    <w:p>
      <w:pPr>
        <w:spacing w:after="0" w:line="233"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names of the persons filing this statement are:</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Laurence W. Lytton</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business office of the Filers is located at:</w:t>
      </w:r>
    </w:p>
    <w:p>
      <w:pPr>
        <w:spacing w:after="0" w:line="225" w:lineRule="exact"/>
        <w:rPr>
          <w:rFonts w:ascii="Times New Roman" w:cs="Times New Roman" w:eastAsia="Times New Roman" w:hAnsi="Times New Roman"/>
          <w:sz w:val="20"/>
          <w:szCs w:val="20"/>
          <w:color w:val="auto"/>
        </w:rPr>
      </w:pPr>
    </w:p>
    <w:p>
      <w:pPr>
        <w:ind w:left="1300" w:right="6899"/>
        <w:spacing w:after="0" w:line="300"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color w:val="auto"/>
        </w:rPr>
        <w:t>467 Central Park West New York, NY 10025</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citizenship of Filers, see Item 4 of the cover sheet for each Filer.</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statement relates to shares of Ordinary Shares, par value NIS 0.01 per share of the Issuer (the "Stock").</w:t>
      </w:r>
    </w:p>
    <w:p>
      <w:pPr>
        <w:spacing w:after="0" w:line="236"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CUSIP number of the Issuer is: </w:t>
      </w:r>
      <w:r>
        <w:rPr>
          <w:rFonts w:ascii="Times New Roman" w:cs="Times New Roman" w:eastAsia="Times New Roman" w:hAnsi="Times New Roman"/>
          <w:sz w:val="20"/>
          <w:szCs w:val="20"/>
          <w:b w:val="1"/>
          <w:bCs w:val="1"/>
          <w:color w:val="auto"/>
        </w:rPr>
        <w:t>M8186D106</w:t>
      </w:r>
    </w:p>
    <w:p>
      <w:pPr>
        <w:spacing w:after="0" w:line="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39"/>
          </w:cols>
          <w:pgMar w:left="320" w:top="229"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M8186D106</w:t>
      </w:r>
    </w:p>
    <w:p>
      <w:pPr>
        <w:spacing w:after="0" w:line="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If this statement is filed pursuant to rule 240.13d-1(b) or 240.13d-2(b) or (c), check whether the person filing is a:</w:t>
      </w:r>
    </w:p>
    <w:p>
      <w:pPr>
        <w:sectPr>
          <w:pgSz w:w="11900" w:h="16838" w:orient="portrait"/>
          <w:cols w:equalWidth="0" w:num="1">
            <w:col w:w="11180"/>
          </w:cols>
          <w:pgMar w:left="320" w:top="229" w:right="399" w:bottom="1440" w:gutter="0" w:footer="0" w:header="0"/>
        </w:sectPr>
      </w:pP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Broker or dealer registered under section 15 of the Act (15 U.S.C. 78o).</w:t>
      </w:r>
    </w:p>
    <w:p>
      <w:pPr>
        <w:spacing w:after="0" w:line="200" w:lineRule="exact"/>
        <w:rPr>
          <w:sz w:val="20"/>
          <w:szCs w:val="20"/>
          <w:color w:val="auto"/>
        </w:rPr>
      </w:pPr>
    </w:p>
    <w:p>
      <w:pPr>
        <w:sectPr>
          <w:pgSz w:w="11900" w:h="16838" w:orient="portrait"/>
          <w:cols w:equalWidth="0" w:num="2">
            <w:col w:w="1240" w:space="720"/>
            <w:col w:w="9220"/>
          </w:cols>
          <w:pgMar w:left="320" w:top="229" w:right="399" w:bottom="144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Bank as defined in section 3(a)(6) of the Act (15 U.S.C. 78c).</w:t>
      </w:r>
    </w:p>
    <w:p>
      <w:pPr>
        <w:spacing w:after="0" w:line="200" w:lineRule="exact"/>
        <w:rPr>
          <w:sz w:val="20"/>
          <w:szCs w:val="20"/>
          <w:color w:val="auto"/>
        </w:rPr>
      </w:pPr>
    </w:p>
    <w:p>
      <w:pPr>
        <w:sectPr>
          <w:pgSz w:w="11900" w:h="16838" w:orient="portrait"/>
          <w:cols w:equalWidth="0" w:num="2">
            <w:col w:w="1240" w:space="720"/>
            <w:col w:w="9220"/>
          </w:cols>
          <w:pgMar w:left="320" w:top="229" w:right="399" w:bottom="144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(c)</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Insurance company as defined in section 3(a)(19) of the Act (15 U.S.C. 78c).</w:t>
      </w:r>
    </w:p>
    <w:p>
      <w:pPr>
        <w:spacing w:after="0" w:line="200" w:lineRule="exact"/>
        <w:rPr>
          <w:sz w:val="20"/>
          <w:szCs w:val="20"/>
          <w:color w:val="auto"/>
        </w:rPr>
      </w:pPr>
    </w:p>
    <w:p>
      <w:pPr>
        <w:sectPr>
          <w:pgSz w:w="11900" w:h="16838" w:orient="portrait"/>
          <w:cols w:equalWidth="0" w:num="2">
            <w:col w:w="1240" w:space="720"/>
            <w:col w:w="9220"/>
          </w:cols>
          <w:pgMar w:left="320" w:top="229" w:right="399" w:bottom="144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Investment company registered under section 8 of the Investment Company Act of 1940 (15 U.S.C. 80a-8).</w:t>
      </w:r>
    </w:p>
    <w:p>
      <w:pPr>
        <w:spacing w:after="0" w:line="200" w:lineRule="exact"/>
        <w:rPr>
          <w:sz w:val="20"/>
          <w:szCs w:val="20"/>
          <w:color w:val="auto"/>
        </w:rPr>
      </w:pPr>
    </w:p>
    <w:p>
      <w:pPr>
        <w:sectPr>
          <w:pgSz w:w="11900" w:h="16838" w:orient="portrait"/>
          <w:cols w:equalWidth="0" w:num="2">
            <w:col w:w="1240" w:space="720"/>
            <w:col w:w="9220"/>
          </w:cols>
          <w:pgMar w:left="320" w:top="229" w:right="399" w:bottom="144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An investment adviser in accordance with section 240.13d-1(b)(1)(ii)(E).</w:t>
      </w:r>
    </w:p>
    <w:p>
      <w:pPr>
        <w:spacing w:after="0" w:line="200" w:lineRule="exact"/>
        <w:rPr>
          <w:sz w:val="20"/>
          <w:szCs w:val="20"/>
          <w:color w:val="auto"/>
        </w:rPr>
      </w:pPr>
    </w:p>
    <w:p>
      <w:pPr>
        <w:sectPr>
          <w:pgSz w:w="11900" w:h="16838" w:orient="portrait"/>
          <w:cols w:equalWidth="0" w:num="2">
            <w:col w:w="1240" w:space="720"/>
            <w:col w:w="9220"/>
          </w:cols>
          <w:pgMar w:left="320" w:top="229" w:right="399" w:bottom="144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An employee benefit plan or endowment fund in accordance with section 240.13d-1(b)(1)(ii)(F).</w:t>
      </w:r>
    </w:p>
    <w:p>
      <w:pPr>
        <w:spacing w:after="0" w:line="211" w:lineRule="exact"/>
        <w:rPr>
          <w:sz w:val="20"/>
          <w:szCs w:val="20"/>
          <w:color w:val="auto"/>
        </w:rPr>
      </w:pPr>
    </w:p>
    <w:p>
      <w:pPr>
        <w:sectPr>
          <w:pgSz w:w="11900" w:h="16838" w:orient="portrait"/>
          <w:cols w:equalWidth="0" w:num="2">
            <w:col w:w="1240" w:space="720"/>
            <w:col w:w="9220"/>
          </w:cols>
          <w:pgMar w:left="320" w:top="229" w:right="399" w:bottom="1440" w:gutter="0" w:footer="0" w:header="0"/>
          <w:type w:val="continuous"/>
        </w:sectPr>
      </w:pP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A parent holding company or control person in accordance with 240.13d-1(b)(1)(ii)(G)</w:t>
      </w:r>
    </w:p>
    <w:p>
      <w:pPr>
        <w:spacing w:after="0" w:line="200" w:lineRule="exact"/>
        <w:rPr>
          <w:sz w:val="20"/>
          <w:szCs w:val="20"/>
          <w:color w:val="auto"/>
        </w:rPr>
      </w:pPr>
    </w:p>
    <w:p>
      <w:pPr>
        <w:sectPr>
          <w:pgSz w:w="11900" w:h="16838" w:orient="portrait"/>
          <w:cols w:equalWidth="0" w:num="2">
            <w:col w:w="1240" w:space="720"/>
            <w:col w:w="9220"/>
          </w:cols>
          <w:pgMar w:left="320" w:top="229" w:right="399" w:bottom="144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A savings association as defined in section 3(b) of the Federal Deposit Insurance Act (12 U.S.C. 1813).</w:t>
      </w:r>
    </w:p>
    <w:p>
      <w:pPr>
        <w:spacing w:after="0" w:line="200" w:lineRule="exact"/>
        <w:rPr>
          <w:sz w:val="20"/>
          <w:szCs w:val="20"/>
          <w:color w:val="auto"/>
        </w:rPr>
      </w:pPr>
    </w:p>
    <w:p>
      <w:pPr>
        <w:sectPr>
          <w:pgSz w:w="11900" w:h="16838" w:orient="portrait"/>
          <w:cols w:equalWidth="0" w:num="2">
            <w:col w:w="1240" w:space="720"/>
            <w:col w:w="9220"/>
          </w:cols>
          <w:pgMar w:left="320" w:top="229" w:right="399" w:bottom="144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20"/>
          <w:szCs w:val="20"/>
          <w:color w:val="auto"/>
        </w:rPr>
        <w:t>[ ] A church plan that is excluded from the definition of an investment company under section 3(c)(14) of the Investment Company Act of 1940 (15 U.S.C. 80a-3).</w:t>
      </w:r>
    </w:p>
    <w:p>
      <w:pPr>
        <w:spacing w:after="0" w:line="173" w:lineRule="exact"/>
        <w:rPr>
          <w:sz w:val="20"/>
          <w:szCs w:val="20"/>
          <w:color w:val="auto"/>
        </w:rPr>
      </w:pPr>
    </w:p>
    <w:p>
      <w:pPr>
        <w:sectPr>
          <w:pgSz w:w="11900" w:h="16838" w:orient="portrait"/>
          <w:cols w:equalWidth="0" w:num="2">
            <w:col w:w="1240" w:space="720"/>
            <w:col w:w="9220"/>
          </w:cols>
          <w:pgMar w:left="320" w:top="229" w:right="39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9"/>
          <w:szCs w:val="19"/>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 ] A non-U.S. institution in accordance with §240.13d-1(b)(ii)(J).</w:t>
      </w:r>
    </w:p>
    <w:p>
      <w:pPr>
        <w:spacing w:after="0" w:line="200" w:lineRule="exact"/>
        <w:rPr>
          <w:sz w:val="20"/>
          <w:szCs w:val="20"/>
          <w:color w:val="auto"/>
        </w:rPr>
      </w:pPr>
    </w:p>
    <w:p>
      <w:pPr>
        <w:sectPr>
          <w:pgSz w:w="11900" w:h="16838" w:orient="portrait"/>
          <w:cols w:equalWidth="0" w:num="2">
            <w:col w:w="1240" w:space="720"/>
            <w:col w:w="9220"/>
          </w:cols>
          <w:pgMar w:left="320" w:top="229" w:right="399" w:bottom="144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Group, in accordance with Rule 13d-1(b)(1)(ii)(K).</w:t>
      </w:r>
    </w:p>
    <w:p>
      <w:pPr>
        <w:spacing w:after="0" w:line="200" w:lineRule="exact"/>
        <w:rPr>
          <w:sz w:val="20"/>
          <w:szCs w:val="20"/>
          <w:color w:val="auto"/>
        </w:rPr>
      </w:pPr>
    </w:p>
    <w:p>
      <w:pPr>
        <w:sectPr>
          <w:pgSz w:w="11900" w:h="16838" w:orient="portrait"/>
          <w:cols w:equalWidth="0" w:num="2">
            <w:col w:w="1240" w:space="720"/>
            <w:col w:w="9220"/>
          </w:cols>
          <w:pgMar w:left="320" w:top="229" w:right="399" w:bottom="1440" w:gutter="0" w:footer="0" w:header="0"/>
          <w:type w:val="continuous"/>
        </w:sectPr>
      </w:pPr>
    </w:p>
    <w:p>
      <w:pPr>
        <w:spacing w:after="0" w:line="41" w:lineRule="exact"/>
        <w:rPr>
          <w:sz w:val="20"/>
          <w:szCs w:val="20"/>
          <w:color w:val="auto"/>
        </w:rPr>
      </w:pPr>
    </w:p>
    <w:p>
      <w:pPr>
        <w:ind w:left="660" w:right="158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§240.13d-1(b)(1)(ii)(J), please specify the type of institution _______________________________________________________________.</w:t>
      </w:r>
    </w:p>
    <w:p>
      <w:pPr>
        <w:sectPr>
          <w:pgSz w:w="11900" w:h="16838" w:orient="portrait"/>
          <w:cols w:equalWidth="0" w:num="1">
            <w:col w:w="11180"/>
          </w:cols>
          <w:pgMar w:left="320" w:top="229" w:right="399"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Ownership.</w:t>
      </w:r>
    </w:p>
    <w:p>
      <w:pPr>
        <w:spacing w:after="0" w:line="200" w:lineRule="exact"/>
        <w:rPr>
          <w:sz w:val="20"/>
          <w:szCs w:val="20"/>
          <w:color w:val="auto"/>
        </w:rPr>
      </w:pPr>
    </w:p>
    <w:p>
      <w:pPr>
        <w:sectPr>
          <w:pgSz w:w="11900" w:h="16838" w:orient="portrait"/>
          <w:cols w:equalWidth="0" w:num="2">
            <w:col w:w="600" w:space="700"/>
            <w:col w:w="9880"/>
          </w:cols>
          <w:pgMar w:left="320" w:top="229" w:right="39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Items 5-9 and 11 of the cover page.</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shares of Stock reported in this Schedule 13G exclude 57,743 shares issuable on exercise of pre-funded warrants and 761,615 shares of Stock issuable on exercise of common warrants held by the reporting person that are subject to a 4.99% beneficial ownership limitation. The percentages reported in this Schedule 13G are based on 20,110,965 Ordinary Shares outstanding as of September 30, 2024, as reported in the Prospectus Supplement filed by the Issuer on October 7, 2024.</w:t>
      </w:r>
    </w:p>
    <w:p>
      <w:pPr>
        <w:spacing w:after="0" w:line="1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 xml:space="preserve">If this statement is being filed to report the fact that as of the date hereof the reporting person has ceased to be the beneficial owner of more than five percent of the class of securities, check the following [ </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 xml:space="preserve"> ].</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80"/>
          </w:cols>
          <w:pgMar w:left="320" w:top="229" w:right="3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M8186D106</w:t>
      </w:r>
    </w:p>
    <w:p>
      <w:pPr>
        <w:spacing w:after="0" w:line="230" w:lineRule="exact"/>
        <w:rPr>
          <w:sz w:val="20"/>
          <w:szCs w:val="20"/>
          <w:color w:val="auto"/>
        </w:rPr>
      </w:pPr>
    </w:p>
    <w:p>
      <w:pPr>
        <w:ind w:left="1300" w:right="320" w:hanging="1295"/>
        <w:spacing w:after="0" w:line="273"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20"/>
          <w:szCs w:val="20"/>
          <w:b w:val="1"/>
          <w:bCs w:val="1"/>
          <w:color w:val="auto"/>
        </w:rPr>
        <w:t>Certification.</w:t>
      </w:r>
    </w:p>
    <w:p>
      <w:pPr>
        <w:spacing w:after="0" w:line="220" w:lineRule="exact"/>
        <w:rPr>
          <w:sz w:val="20"/>
          <w:szCs w:val="20"/>
          <w:color w:val="auto"/>
        </w:rPr>
      </w:pPr>
    </w:p>
    <w:p>
      <w:pPr>
        <w:ind w:right="640"/>
        <w:spacing w:after="0" w:line="249"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SIGNATURE</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November 14, 2024</w:t>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u w:val="single" w:color="auto"/>
          <w:color w:val="auto"/>
        </w:rPr>
        <w:t xml:space="preserve">/s/ </w:t>
      </w:r>
      <w:r>
        <w:rPr>
          <w:rFonts w:ascii="Times New Roman" w:cs="Times New Roman" w:eastAsia="Times New Roman" w:hAnsi="Times New Roman"/>
          <w:sz w:val="20"/>
          <w:szCs w:val="20"/>
          <w:i w:val="1"/>
          <w:iCs w:val="1"/>
          <w:u w:val="single" w:color="auto"/>
          <w:color w:val="auto"/>
        </w:rPr>
        <w:t>Laurence W. Lytton</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Laurence W. Lytton</w:t>
      </w:r>
    </w:p>
    <w:sectPr>
      <w:pgSz w:w="11900" w:h="16838" w:orient="portrait"/>
      <w:cols w:equalWidth="0" w:num="1">
        <w:col w:w="11180"/>
      </w:cols>
      <w:pgMar w:left="320" w:top="22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3"/>
    </w:lvl>
    <w:lvl w:ilvl="1">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9"/>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2024-11-14T12:24:50Z</dcterms:created>
  <dcterms:modified xsi:type="dcterms:W3CDTF">2024-11-14T12:24:50Z</dcterms:modified>
</cp:coreProperties>
</file>