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Rail Vision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no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05/05/2026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L.I.A. Pure Capital Ltd.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ISRAEL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162,503.00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162,503.00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162,503.00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Percentage calculated based on 2,281,329 ordinary shares, no par value per share (the "Ordinary Shares"), of Rail Vision Ltd. (the "Issuer") issued and outstanding as of the reporting date, which amount was provided to the Reporting Person by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0"/>
        <w:gridCol w:w="8900"/>
        <w:gridCol w:w="155"/>
      </w:tblGrid>
      <w:tr>
        <w:trPr/>
        <w:tc>
          <w:tcPr>
            <w:tcW w:w="1150" w:type="dxa"/>
            <w:tcBorders/>
            <w:vAlign w:val="center"/>
          </w:tcPr>
          <w:p>
            <w:pPr>
              <w:pStyle w:val="TableContents"/>
              <w:bidi w:val="0"/>
              <w:spacing w:before="0" w:after="283"/>
              <w:jc w:val="left"/>
              <w:rPr/>
            </w:pPr>
            <w:r>
              <w:rPr/>
              <w:t>Item 1.</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issuer: </w:t>
            </w:r>
          </w:p>
          <w:p>
            <w:pPr>
              <w:pStyle w:val="TableContents"/>
              <w:bidi w:val="0"/>
              <w:spacing w:before="0" w:after="0"/>
              <w:jc w:val="left"/>
              <w:rPr/>
            </w:pPr>
            <w:r>
              <w:rPr/>
              <w:t>Rail Vision Ltd.</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 Ha'Tidhar St Ra'anana, 4366517 Israel</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2.</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person filing: </w:t>
            </w:r>
          </w:p>
          <w:p>
            <w:pPr>
              <w:pStyle w:val="TableContents"/>
              <w:bidi w:val="0"/>
              <w:spacing w:before="0" w:after="0"/>
              <w:jc w:val="left"/>
              <w:rPr/>
            </w:pPr>
            <w:r>
              <w:rPr/>
              <w:t>L.I.A. Pure Capital Ltd.</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 Raoul Wallenberg Street, Tel Aviv, Israel 6971916</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jc w:val="left"/>
              <w:rPr/>
            </w:pPr>
            <w:r>
              <w:rPr/>
              <w:t xml:space="preserve">Citizenship: </w:t>
            </w:r>
          </w:p>
          <w:p>
            <w:pPr>
              <w:pStyle w:val="TableContents"/>
              <w:bidi w:val="0"/>
              <w:spacing w:before="0" w:after="0"/>
              <w:jc w:val="left"/>
              <w:rPr/>
            </w:pPr>
            <w:r>
              <w:rPr/>
              <w:t>Israel</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3.</w:t>
            </w:r>
          </w:p>
        </w:tc>
        <w:tc>
          <w:tcPr>
            <w:tcW w:w="890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(f)</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(g)</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(h)</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(j)</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(k)</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4.</w:t>
            </w:r>
          </w:p>
        </w:tc>
        <w:tc>
          <w:tcPr>
            <w:tcW w:w="890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items 5-11 of the cover pages hereto for beneficial ownership, percentage of class and dispositive power of the Reporting Person, which is incorporated herein. Amount beneficially owned by the Reporting Person consists of (i) 63,388 Ordinary Shares, (ii) 833 restricted share units that will vest within 60 days of the date hereof and (iii) 98,282 Ordinary Shares which may be acquired by the Reporting Person within 60 days of the date hereof through the exercise of a warrant (the "Warrant"), which includes a blocker provision under which the Reporting Person does not have the right to exercise the Warrant to the extent (but only to the extent) that such exercise would result in beneficial ownership by the Reporting Person, together with the Reporting Person's affiliates, and any other persons acting as a group together with the Reporting Person or any of the Reporting Person's affiliates, of more than 19.99% of the Ordinary Shares. Such amount does not include 4,998 restricted share units that will vest not within 60 days of the date hereof.</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items 5-11 of the cover pages hereto for beneficial ownership, percentage of class and dispositive power of the Reporting Person, which is incorporated herein.  %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items 5-11 of the cover pages hereto for beneficial ownership, percentage of class and dispositive power of the Reporting Person, which is incorporated herein.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items 5-11 of the cover pages hereto for beneficial ownership, percentage of class and dispositive power of the Reporting Person, which is incorporated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items 5-11 of the cover pages hereto for beneficial ownership, percentage of class and dispositive power of the Reporting Person, which is incorporated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items 5-11 of the cover pages hereto for beneficial ownership, percentage of class and dispositive power of the Reporting Person, which is incorporated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5.</w:t>
            </w:r>
          </w:p>
        </w:tc>
        <w:tc>
          <w:tcPr>
            <w:tcW w:w="890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6.</w:t>
            </w:r>
          </w:p>
        </w:tc>
        <w:tc>
          <w:tcPr>
            <w:tcW w:w="890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7.</w:t>
            </w:r>
          </w:p>
        </w:tc>
        <w:tc>
          <w:tcPr>
            <w:tcW w:w="890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8.</w:t>
            </w:r>
          </w:p>
        </w:tc>
        <w:tc>
          <w:tcPr>
            <w:tcW w:w="890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9.</w:t>
            </w:r>
          </w:p>
        </w:tc>
        <w:tc>
          <w:tcPr>
            <w:tcW w:w="890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L.I.A. Pure Capital Ltd.</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6"/>
        <w:gridCol w:w="4309"/>
      </w:tblGrid>
      <w:tr>
        <w:trPr/>
        <w:tc>
          <w:tcPr>
            <w:tcW w:w="58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Kfir Silberman</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Kfir Silberman/Chief Executive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1059</Words>
  <Characters>5501</Characters>
  <CharactersWithSpaces>6551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