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Yoresh Eliyahu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Rail Vision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RVSN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RAIL VISION LTD.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 HA'TIDHAR ST.</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RA'ANANA</w:t>
      </w:r>
      <w:r>
        <w:rPr>
          <w:sz w:val="20"/>
          <w:szCs w:val="20"/>
          <w:color w:val="auto"/>
        </w:rPr>
        <w:tab/>
      </w:r>
      <w:r>
        <w:rPr>
          <w:rFonts w:ascii="Times New Roman" w:cs="Times New Roman" w:eastAsia="Times New Roman" w:hAnsi="Times New Roman"/>
          <w:sz w:val="18"/>
          <w:szCs w:val="18"/>
          <w:color w:val="0000FF"/>
        </w:rPr>
        <w:t>4366517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140" w:type="dxa"/>
            <w:vAlign w:val="bottom"/>
          </w:tcPr>
          <w:p>
            <w:pPr>
              <w:jc w:val="center"/>
              <w:ind w:left="1146"/>
              <w:spacing w:after="0"/>
              <w:rPr>
                <w:sz w:val="20"/>
                <w:szCs w:val="20"/>
                <w:color w:val="auto"/>
              </w:rPr>
            </w:pPr>
            <w:r>
              <w:rPr>
                <w:rFonts w:ascii="Times New Roman" w:cs="Times New Roman" w:eastAsia="Times New Roman" w:hAnsi="Times New Roman"/>
                <w:sz w:val="20"/>
                <w:szCs w:val="20"/>
                <w:color w:val="0000FF"/>
                <w:w w:val="94"/>
              </w:rPr>
              <w:t>24,856</w:t>
            </w:r>
          </w:p>
        </w:tc>
        <w:tc>
          <w:tcPr>
            <w:tcW w:w="4100" w:type="dxa"/>
            <w:vAlign w:val="bottom"/>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3140" w:type="dxa"/>
            <w:vAlign w:val="bottom"/>
            <w:tcBorders>
              <w:bottom w:val="single" w:sz="8" w:color="2C2C2C"/>
            </w:tcBorders>
          </w:tcPr>
          <w:p>
            <w:pPr>
              <w:spacing w:after="0"/>
              <w:rPr>
                <w:sz w:val="6"/>
                <w:szCs w:val="6"/>
                <w:color w:val="auto"/>
              </w:rPr>
            </w:pPr>
          </w:p>
        </w:tc>
        <w:tc>
          <w:tcPr>
            <w:tcW w:w="4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3140" w:type="dxa"/>
            <w:vAlign w:val="bottom"/>
            <w:tcBorders>
              <w:bottom w:val="single" w:sz="8" w:color="2C2C2C"/>
            </w:tcBorders>
          </w:tcPr>
          <w:p>
            <w:pPr>
              <w:jc w:val="center"/>
              <w:ind w:left="1146"/>
              <w:spacing w:after="0" w:line="359" w:lineRule="exact"/>
              <w:rPr>
                <w:sz w:val="20"/>
                <w:szCs w:val="20"/>
                <w:color w:val="auto"/>
              </w:rPr>
            </w:pPr>
            <w:r>
              <w:rPr>
                <w:rFonts w:ascii="Times New Roman" w:cs="Times New Roman" w:eastAsia="Times New Roman" w:hAnsi="Times New Roman"/>
                <w:sz w:val="39"/>
                <w:szCs w:val="39"/>
                <w:color w:val="0000FF"/>
                <w:w w:val="81"/>
                <w:vertAlign w:val="subscript"/>
              </w:rPr>
              <w:t>3,714</w:t>
            </w:r>
            <w:r>
              <w:rPr>
                <w:rFonts w:ascii="Times New Roman" w:cs="Times New Roman" w:eastAsia="Times New Roman" w:hAnsi="Times New Roman"/>
                <w:sz w:val="13"/>
                <w:szCs w:val="13"/>
                <w:color w:val="008000"/>
                <w:w w:val="81"/>
              </w:rPr>
              <w:t>(1)(3)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3140" w:type="dxa"/>
            <w:vAlign w:val="bottom"/>
            <w:tcBorders>
              <w:bottom w:val="single" w:sz="8" w:color="2C2C2C"/>
            </w:tcBorders>
          </w:tcPr>
          <w:p>
            <w:pPr>
              <w:jc w:val="center"/>
              <w:ind w:left="1146"/>
              <w:spacing w:after="0" w:line="359" w:lineRule="exact"/>
              <w:rPr>
                <w:sz w:val="20"/>
                <w:szCs w:val="20"/>
                <w:color w:val="auto"/>
              </w:rPr>
            </w:pPr>
            <w:r>
              <w:rPr>
                <w:rFonts w:ascii="Times New Roman" w:cs="Times New Roman" w:eastAsia="Times New Roman" w:hAnsi="Times New Roman"/>
                <w:sz w:val="39"/>
                <w:szCs w:val="39"/>
                <w:color w:val="0000FF"/>
                <w:w w:val="81"/>
                <w:vertAlign w:val="subscript"/>
              </w:rPr>
              <w:t>8,125</w:t>
            </w:r>
            <w:r>
              <w:rPr>
                <w:rFonts w:ascii="Times New Roman" w:cs="Times New Roman" w:eastAsia="Times New Roman" w:hAnsi="Times New Roman"/>
                <w:sz w:val="13"/>
                <w:szCs w:val="13"/>
                <w:color w:val="008000"/>
                <w:w w:val="81"/>
              </w:rPr>
              <w:t>(2)(3)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660" w:type="dxa"/>
            <w:vAlign w:val="bottom"/>
            <w:tcBorders>
              <w:top w:val="single" w:sz="8" w:color="808080"/>
            </w:tcBorders>
            <w:shd w:val="clear" w:color="auto" w:fill="2C2C2C"/>
          </w:tcPr>
          <w:p>
            <w:pPr>
              <w:spacing w:after="0" w:line="20" w:lineRule="exact"/>
              <w:rPr>
                <w:sz w:val="1"/>
                <w:szCs w:val="1"/>
                <w:color w:val="auto"/>
              </w:rPr>
            </w:pPr>
          </w:p>
        </w:tc>
        <w:tc>
          <w:tcPr>
            <w:tcW w:w="3140" w:type="dxa"/>
            <w:vAlign w:val="bottom"/>
            <w:tcBorders>
              <w:top w:val="single" w:sz="8" w:color="808080"/>
            </w:tcBorders>
            <w:shd w:val="clear" w:color="auto" w:fill="2C2C2C"/>
          </w:tcPr>
          <w:p>
            <w:pPr>
              <w:spacing w:after="0" w:line="20" w:lineRule="exact"/>
              <w:rPr>
                <w:sz w:val="1"/>
                <w:szCs w:val="1"/>
                <w:color w:val="auto"/>
              </w:rPr>
            </w:pPr>
          </w:p>
        </w:tc>
        <w:tc>
          <w:tcPr>
            <w:tcW w:w="4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to Purchase Ordinary Shares</w:t>
            </w:r>
          </w:p>
        </w:tc>
        <w:tc>
          <w:tcPr>
            <w:tcW w:w="9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5"/>
                <w:szCs w:val="15"/>
                <w:color w:val="0000FF"/>
              </w:rPr>
              <w:t>01/04/2018</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01/04/2028</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right="104"/>
              <w:spacing w:after="0" w:line="359" w:lineRule="exact"/>
              <w:rPr>
                <w:sz w:val="20"/>
                <w:szCs w:val="20"/>
                <w:color w:val="auto"/>
              </w:rPr>
            </w:pPr>
            <w:r>
              <w:rPr>
                <w:rFonts w:ascii="Times New Roman" w:cs="Times New Roman" w:eastAsia="Times New Roman" w:hAnsi="Times New Roman"/>
                <w:sz w:val="39"/>
                <w:szCs w:val="39"/>
                <w:color w:val="0000FF"/>
                <w:vertAlign w:val="subscript"/>
              </w:rPr>
              <w:t>70</w:t>
            </w:r>
            <w:r>
              <w:rPr>
                <w:rFonts w:ascii="Times New Roman" w:cs="Times New Roman" w:eastAsia="Times New Roman" w:hAnsi="Times New Roman"/>
                <w:sz w:val="13"/>
                <w:szCs w:val="13"/>
                <w:color w:val="008000"/>
              </w:rPr>
              <w:t>(3)</w:t>
            </w:r>
          </w:p>
        </w:tc>
        <w:tc>
          <w:tcPr>
            <w:tcW w:w="9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444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to Purchase Ordinary Shares</w:t>
            </w:r>
          </w:p>
        </w:tc>
        <w:tc>
          <w:tcPr>
            <w:tcW w:w="9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5"/>
                <w:szCs w:val="15"/>
                <w:color w:val="0000FF"/>
              </w:rPr>
              <w:t>05/11/2022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05/11/2032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0"/>
                <w:szCs w:val="20"/>
                <w:color w:val="0000FF"/>
              </w:rPr>
              <w:t>166</w:t>
            </w:r>
            <w:r>
              <w:rPr>
                <w:rFonts w:ascii="Times New Roman" w:cs="Times New Roman" w:eastAsia="Times New Roman" w:hAnsi="Times New Roman"/>
                <w:sz w:val="25"/>
                <w:szCs w:val="25"/>
                <w:color w:val="008000"/>
                <w:vertAlign w:val="superscript"/>
              </w:rPr>
              <w:t>(3)</w:t>
            </w:r>
          </w:p>
        </w:tc>
        <w:tc>
          <w:tcPr>
            <w:tcW w:w="9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444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vest in 7 equal installments on a quarterly basis beginning on March 31, 2026, subject to the Reporting Person's continued service.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vest in 9 equal installments on a quarterly basis beginning on March 31, 2026, subject to the Reporting Person's continued service.</w:t>
      </w:r>
    </w:p>
    <w:p>
      <w:pPr>
        <w:spacing w:after="0" w:line="52"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qualify for certain tax benefits under Section 102 of the Israeli Tax Ordinance, securities issued to an employee in connection with the Rail Vision Ltd. Amended Share Option Plan must be registered in the name of a trustee.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Eli Yoresh</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9392" TargetMode="External"/><Relationship Id="rId11" Type="http://schemas.openxmlformats.org/officeDocument/2006/relationships/hyperlink" Target="http://www.sec.gov/cgi-bin/browse-edgar?action=getcompany&amp;CIK=0001743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2026-03-18T05:47:33Z</dcterms:created>
  <dcterms:modified xsi:type="dcterms:W3CDTF">2026-03-18T05:47:33Z</dcterms:modified>
</cp:coreProperties>
</file>