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99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999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Cohadier Doron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40" w:type="dxa"/>
            <w:vAlign w:val="bottom"/>
            <w:tcBorders>
              <w:top w:val="single" w:sz="8" w:color="0000EE"/>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Rail Vision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RVSN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RAIL VISION LTD.</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15 HA'TIDHAR ST.</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2180" w:val="left"/>
        </w:tabs>
        <w:rPr>
          <w:sz w:val="20"/>
          <w:szCs w:val="20"/>
          <w:color w:val="auto"/>
        </w:rPr>
      </w:pPr>
      <w:r>
        <w:rPr>
          <w:rFonts w:ascii="Times New Roman" w:cs="Times New Roman" w:eastAsia="Times New Roman" w:hAnsi="Times New Roman"/>
          <w:sz w:val="18"/>
          <w:szCs w:val="18"/>
          <w:color w:val="0000FF"/>
        </w:rPr>
        <w:t>RA'ANANA</w:t>
      </w:r>
      <w:r>
        <w:rPr>
          <w:sz w:val="20"/>
          <w:szCs w:val="20"/>
          <w:color w:val="auto"/>
        </w:rPr>
        <w:tab/>
      </w:r>
      <w:r>
        <w:rPr>
          <w:rFonts w:ascii="Times New Roman" w:cs="Times New Roman" w:eastAsia="Times New Roman" w:hAnsi="Times New Roman"/>
          <w:sz w:val="18"/>
          <w:szCs w:val="18"/>
          <w:color w:val="0000FF"/>
        </w:rPr>
        <w:t>4366517</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83"/>
        <w:spacing w:after="0"/>
        <w:rPr>
          <w:sz w:val="20"/>
          <w:szCs w:val="20"/>
          <w:color w:val="auto"/>
        </w:rPr>
      </w:pPr>
      <w:r>
        <w:rPr>
          <w:rFonts w:ascii="Times New Roman" w:cs="Times New Roman" w:eastAsia="Times New Roman" w:hAnsi="Times New Roman"/>
          <w:sz w:val="20"/>
          <w:szCs w:val="20"/>
          <w:color w:val="0000FF"/>
        </w:rPr>
        <w:t>VP of BD and Marketing</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36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140" w:type="dxa"/>
            <w:vAlign w:val="bottom"/>
          </w:tcPr>
          <w:p>
            <w:pPr>
              <w:jc w:val="center"/>
              <w:ind w:left="1146"/>
              <w:spacing w:after="0"/>
              <w:rPr>
                <w:sz w:val="20"/>
                <w:szCs w:val="20"/>
                <w:color w:val="auto"/>
              </w:rPr>
            </w:pPr>
            <w:r>
              <w:rPr>
                <w:rFonts w:ascii="Times New Roman" w:cs="Times New Roman" w:eastAsia="Times New Roman" w:hAnsi="Times New Roman"/>
                <w:sz w:val="20"/>
                <w:szCs w:val="20"/>
                <w:color w:val="0000FF"/>
                <w:w w:val="97"/>
              </w:rPr>
              <w:t>3,125</w:t>
            </w:r>
          </w:p>
        </w:tc>
        <w:tc>
          <w:tcPr>
            <w:tcW w:w="4100" w:type="dxa"/>
            <w:vAlign w:val="bottom"/>
          </w:tcPr>
          <w:p>
            <w:pPr>
              <w:ind w:left="60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2"/>
                <w:szCs w:val="22"/>
                <w:color w:val="auto"/>
              </w:rPr>
            </w:pPr>
          </w:p>
        </w:tc>
      </w:tr>
      <w:tr>
        <w:trPr>
          <w:trHeight w:val="72"/>
        </w:trPr>
        <w:tc>
          <w:tcPr>
            <w:tcW w:w="20" w:type="dxa"/>
            <w:vAlign w:val="bottom"/>
          </w:tcPr>
          <w:p>
            <w:pPr>
              <w:spacing w:after="0"/>
              <w:rPr>
                <w:sz w:val="6"/>
                <w:szCs w:val="6"/>
                <w:color w:val="auto"/>
              </w:rPr>
            </w:pPr>
          </w:p>
        </w:tc>
        <w:tc>
          <w:tcPr>
            <w:tcW w:w="3660" w:type="dxa"/>
            <w:vAlign w:val="bottom"/>
            <w:tcBorders>
              <w:bottom w:val="single" w:sz="8" w:color="2C2C2C"/>
            </w:tcBorders>
          </w:tcPr>
          <w:p>
            <w:pPr>
              <w:spacing w:after="0"/>
              <w:rPr>
                <w:sz w:val="6"/>
                <w:szCs w:val="6"/>
                <w:color w:val="auto"/>
              </w:rPr>
            </w:pPr>
          </w:p>
        </w:tc>
        <w:tc>
          <w:tcPr>
            <w:tcW w:w="3140" w:type="dxa"/>
            <w:vAlign w:val="bottom"/>
            <w:tcBorders>
              <w:bottom w:val="single" w:sz="8" w:color="2C2C2C"/>
            </w:tcBorders>
          </w:tcPr>
          <w:p>
            <w:pPr>
              <w:spacing w:after="0"/>
              <w:rPr>
                <w:sz w:val="6"/>
                <w:szCs w:val="6"/>
                <w:color w:val="auto"/>
              </w:rPr>
            </w:pPr>
          </w:p>
        </w:tc>
        <w:tc>
          <w:tcPr>
            <w:tcW w:w="41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370"/>
        </w:trPr>
        <w:tc>
          <w:tcPr>
            <w:tcW w:w="20" w:type="dxa"/>
            <w:vAlign w:val="bottom"/>
          </w:tcPr>
          <w:p>
            <w:pPr>
              <w:spacing w:after="0"/>
              <w:rPr>
                <w:sz w:val="24"/>
                <w:szCs w:val="24"/>
                <w:color w:val="auto"/>
              </w:rPr>
            </w:pPr>
          </w:p>
        </w:tc>
        <w:tc>
          <w:tcPr>
            <w:tcW w:w="3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3140" w:type="dxa"/>
            <w:vAlign w:val="bottom"/>
            <w:tcBorders>
              <w:bottom w:val="single" w:sz="8" w:color="2C2C2C"/>
            </w:tcBorders>
          </w:tcPr>
          <w:p>
            <w:pPr>
              <w:jc w:val="center"/>
              <w:ind w:left="1146"/>
              <w:spacing w:after="0" w:line="359" w:lineRule="exact"/>
              <w:rPr>
                <w:sz w:val="20"/>
                <w:szCs w:val="20"/>
                <w:color w:val="auto"/>
              </w:rPr>
            </w:pPr>
            <w:r>
              <w:rPr>
                <w:rFonts w:ascii="Times New Roman" w:cs="Times New Roman" w:eastAsia="Times New Roman" w:hAnsi="Times New Roman"/>
                <w:sz w:val="39"/>
                <w:szCs w:val="39"/>
                <w:color w:val="0000FF"/>
                <w:w w:val="81"/>
                <w:vertAlign w:val="subscript"/>
              </w:rPr>
              <w:t>1,652</w:t>
            </w:r>
            <w:r>
              <w:rPr>
                <w:rFonts w:ascii="Times New Roman" w:cs="Times New Roman" w:eastAsia="Times New Roman" w:hAnsi="Times New Roman"/>
                <w:sz w:val="13"/>
                <w:szCs w:val="13"/>
                <w:color w:val="008000"/>
                <w:w w:val="81"/>
              </w:rPr>
              <w:t>(1)(3)</w:t>
            </w:r>
          </w:p>
        </w:tc>
        <w:tc>
          <w:tcPr>
            <w:tcW w:w="4100" w:type="dxa"/>
            <w:vAlign w:val="bottom"/>
            <w:tcBorders>
              <w:bottom w:val="single" w:sz="8" w:color="2C2C2C"/>
            </w:tcBorders>
          </w:tcPr>
          <w:p>
            <w:pPr>
              <w:ind w:left="60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3140" w:type="dxa"/>
            <w:vAlign w:val="bottom"/>
            <w:tcBorders>
              <w:bottom w:val="single" w:sz="8" w:color="2C2C2C"/>
            </w:tcBorders>
          </w:tcPr>
          <w:p>
            <w:pPr>
              <w:jc w:val="center"/>
              <w:ind w:left="1146"/>
              <w:spacing w:after="0" w:line="359" w:lineRule="exact"/>
              <w:rPr>
                <w:sz w:val="20"/>
                <w:szCs w:val="20"/>
                <w:color w:val="auto"/>
              </w:rPr>
            </w:pPr>
            <w:r>
              <w:rPr>
                <w:rFonts w:ascii="Times New Roman" w:cs="Times New Roman" w:eastAsia="Times New Roman" w:hAnsi="Times New Roman"/>
                <w:sz w:val="39"/>
                <w:szCs w:val="39"/>
                <w:color w:val="0000FF"/>
                <w:w w:val="81"/>
                <w:vertAlign w:val="subscript"/>
              </w:rPr>
              <w:t>2,723</w:t>
            </w:r>
            <w:r>
              <w:rPr>
                <w:rFonts w:ascii="Times New Roman" w:cs="Times New Roman" w:eastAsia="Times New Roman" w:hAnsi="Times New Roman"/>
                <w:sz w:val="13"/>
                <w:szCs w:val="13"/>
                <w:color w:val="008000"/>
                <w:w w:val="81"/>
              </w:rPr>
              <w:t>(2)(3)</w:t>
            </w:r>
          </w:p>
        </w:tc>
        <w:tc>
          <w:tcPr>
            <w:tcW w:w="4100" w:type="dxa"/>
            <w:vAlign w:val="bottom"/>
            <w:tcBorders>
              <w:bottom w:val="single" w:sz="8" w:color="2C2C2C"/>
            </w:tcBorders>
          </w:tcPr>
          <w:p>
            <w:pPr>
              <w:ind w:left="60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660" w:type="dxa"/>
            <w:vAlign w:val="bottom"/>
            <w:tcBorders>
              <w:top w:val="single" w:sz="8" w:color="808080"/>
            </w:tcBorders>
            <w:shd w:val="clear" w:color="auto" w:fill="2C2C2C"/>
          </w:tcPr>
          <w:p>
            <w:pPr>
              <w:spacing w:after="0" w:line="20" w:lineRule="exact"/>
              <w:rPr>
                <w:sz w:val="1"/>
                <w:szCs w:val="1"/>
                <w:color w:val="auto"/>
              </w:rPr>
            </w:pPr>
          </w:p>
        </w:tc>
        <w:tc>
          <w:tcPr>
            <w:tcW w:w="3140" w:type="dxa"/>
            <w:vAlign w:val="bottom"/>
            <w:tcBorders>
              <w:top w:val="single" w:sz="8" w:color="808080"/>
            </w:tcBorders>
            <w:shd w:val="clear" w:color="auto" w:fill="2C2C2C"/>
          </w:tcPr>
          <w:p>
            <w:pPr>
              <w:spacing w:after="0" w:line="20" w:lineRule="exact"/>
              <w:rPr>
                <w:sz w:val="1"/>
                <w:szCs w:val="1"/>
                <w:color w:val="auto"/>
              </w:rPr>
            </w:pPr>
          </w:p>
        </w:tc>
        <w:tc>
          <w:tcPr>
            <w:tcW w:w="41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share units vest in 6 equal installments on a quarterly basis beginning on March 31, 2026, subject to the Reporting Person's continued service.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share units vest in 6 equal installments on a quarterly basis beginning on [March 31, 2026___],, subject to the Reporting Person's continued service.</w:t>
      </w:r>
    </w:p>
    <w:p>
      <w:pPr>
        <w:spacing w:after="0" w:line="52" w:lineRule="exact"/>
        <w:rPr>
          <w:rFonts w:ascii="Times New Roman" w:cs="Times New Roman" w:eastAsia="Times New Roman" w:hAnsi="Times New Roman"/>
          <w:sz w:val="15"/>
          <w:szCs w:val="15"/>
          <w:color w:val="008000"/>
        </w:rPr>
      </w:pPr>
    </w:p>
    <w:p>
      <w:pPr>
        <w:ind w:left="40" w:right="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To qualify for certain tax benefits under Section 102 of the Israeli Tax Ordinance, securities issued to an employee in connection with the Rail Vision Ltd. Amended Share Option Plan must be registered in the name of a trustee.</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Doron Cohadier</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66143" TargetMode="External"/><Relationship Id="rId11" Type="http://schemas.openxmlformats.org/officeDocument/2006/relationships/hyperlink" Target="http://www.sec.gov/cgi-bin/browse-edgar?action=getcompany&amp;CIK=00017439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2026-03-18T05:47:24Z</dcterms:created>
  <dcterms:modified xsi:type="dcterms:W3CDTF">2026-03-18T05:47:24Z</dcterms:modified>
</cp:coreProperties>
</file>