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0000FF"/>
        </w:rPr>
        <w:t>Rail Vision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no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M8186D205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M8186D205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L.I.A. Pure Capital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jc w:val="center"/>
        <w:ind w:right="7099"/>
        <w:spacing w:after="0"/>
        <w:rPr>
          <w:sz w:val="20"/>
          <w:szCs w:val="20"/>
          <w:color w:val="auto"/>
        </w:rPr>
      </w:pPr>
      <w:r>
        <w:rPr>
          <w:rFonts w:ascii="Times New Roman" w:cs="Times New Roman" w:eastAsia="Times New Roman" w:hAnsi="Times New Roman"/>
          <w:sz w:val="22"/>
          <w:szCs w:val="22"/>
          <w:color w:val="auto"/>
        </w:rPr>
        <w:t>ISRAEL</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136,819.00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136,819.00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136,819.00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700"/>
          </w:cols>
          <w:pgMar w:left="320" w:top="111" w:right="719" w:bottom="0" w:gutter="0" w:footer="0" w:header="0"/>
        </w:sectPr>
      </w:pPr>
    </w:p>
    <w:p>
      <w:pPr>
        <w:spacing w:after="0" w:line="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Percentage calculated based on 2,192,186 ordinary shares, no par value per share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"Ordinary Shares"), of Rail Vision Ltd. (the "Issuer") issued and outstanding as of the reporting date, which amount was provided to the Reporting Person by the Issuer.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Rail Vision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15 Ha'Tidhar St Ra'anana, 4366517 Israel</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L.I.A. Pure Capital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20 Raoul Wallenberg Street, Tel Aviv, Israel 6971916</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Israel</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Ordinary Shares, no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M8186D205</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0860"/>
          </w:cols>
          <w:pgMar w:left="320" w:top="111" w:right="71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60"/>
          </w:cols>
          <w:pgMar w:left="360" w:top="111" w:right="459" w:bottom="0" w:gutter="0" w:footer="0" w:header="0"/>
        </w:sectPr>
      </w:pPr>
    </w:p>
    <w:p>
      <w:pPr>
        <w:spacing w:after="0" w:line="33" w:lineRule="exact"/>
        <w:rPr>
          <w:sz w:val="20"/>
          <w:szCs w:val="20"/>
          <w:color w:val="auto"/>
        </w:rPr>
      </w:pPr>
    </w:p>
    <w:p>
      <w:pPr>
        <w:ind w:left="920"/>
        <w:spacing w:after="0" w:line="249" w:lineRule="auto"/>
        <w:rPr>
          <w:sz w:val="20"/>
          <w:szCs w:val="20"/>
          <w:color w:val="auto"/>
        </w:rPr>
      </w:pPr>
      <w:r>
        <w:rPr>
          <w:rFonts w:ascii="Times New Roman" w:cs="Times New Roman" w:eastAsia="Times New Roman" w:hAnsi="Times New Roman"/>
          <w:sz w:val="21"/>
          <w:szCs w:val="21"/>
          <w:color w:val="auto"/>
        </w:rPr>
        <w:t>See items 5-11 of the cover pages hereto for beneficial ownership, percentage of class and dispositive power of the Reporting Person, which is incorporated herein. Amount beneficially owned by the Reporting Person consists of (i) 93,796 Ordinary Shares, (ii) 833 restricted share units that will vest within 60 days of the date hereof, and (iii) 42,190</w:t>
      </w:r>
    </w:p>
    <w:p>
      <w:pPr>
        <w:spacing w:after="0" w:line="1" w:lineRule="exact"/>
        <w:rPr>
          <w:sz w:val="20"/>
          <w:szCs w:val="20"/>
          <w:color w:val="auto"/>
        </w:rPr>
      </w:pPr>
    </w:p>
    <w:p>
      <w:pPr>
        <w:ind w:left="920" w:right="40" w:hanging="912"/>
        <w:spacing w:after="0" w:line="232"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Ordinary Shares which may be acquired by the Reporting Person within 60 days of the date hereof through the exercise of a warrant (the "Warrant"), which includes a blocker provision under which the Reporting Person does not have the right to exercise the Warrant to the extent (but only to the extent) that such exercise would result in beneficial ownership by the Reporting Person, together with the Reporting Person's affiliates, and any other persons acting as a group together with the Reporting Person or any of the Reporting Person's affiliates, of more than 19.99% of the Ordinary Shares.</w:t>
      </w:r>
    </w:p>
    <w:p>
      <w:pPr>
        <w:spacing w:after="0" w:line="20"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2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See items 5-11 of the cover pages hereto for beneficial ownership, percentage of class and dispositive power of the Reporting Person, which is incorporated herein.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080"/>
          </w:cols>
          <w:pgMar w:left="360" w:top="111" w:right="4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See items 5-11 of the cover pages hereto for beneficial ownership, percentage of class and dispositive power of the Reporting Person, which is incorporated herein.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See items 5-11 of the cover pages hereto for beneficial ownership, percentage of class and dispositive power of the Reporting Person, which is incorporated herein.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See items 5-11 of the cover pages hereto for beneficial ownership, percentage of class and dispositive power of the Reporting Person, which is incorporated herein.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See items 5-11 of the cover pages hereto for beneficial ownership, percentage of class and dispositive power of the Reporting Person, which is incorporated herein.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160"/>
          </w:cols>
          <w:pgMar w:left="360" w:top="111" w:right="45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w:t>
      </w:r>
    </w:p>
    <w:p>
      <w:pPr>
        <w:sectPr>
          <w:pgSz w:w="11900" w:h="16838" w:orient="portrait"/>
          <w:cols w:equalWidth="0" w:num="1">
            <w:col w:w="11080"/>
          </w:cols>
          <w:pgMar w:left="360" w:top="111" w:right="459" w:bottom="0" w:gutter="0" w:footer="0" w:header="0"/>
          <w:type w:val="continuous"/>
        </w:sectPr>
      </w:pPr>
    </w:p>
    <w:bookmarkStart w:id="3" w:name="page4"/>
    <w:bookmarkEnd w:id="3"/>
    <w:p>
      <w:pPr>
        <w:ind w:left="720" w:right="160"/>
        <w:spacing w:after="0" w:line="259" w:lineRule="auto"/>
        <w:rPr>
          <w:sz w:val="20"/>
          <w:szCs w:val="20"/>
          <w:color w:val="auto"/>
        </w:rPr>
      </w:pPr>
      <w:r>
        <w:rPr>
          <w:rFonts w:ascii="Times New Roman" w:cs="Times New Roman" w:eastAsia="Times New Roman" w:hAnsi="Times New Roman"/>
          <w:sz w:val="22"/>
          <w:szCs w:val="22"/>
          <w:color w:val="auto"/>
        </w:rPr>
        <w:t>the securities and were not acquired and are not held in 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L.I.A. Pure Capital Ltd.</w:t>
      </w:r>
    </w:p>
    <w:p>
      <w:pPr>
        <w:spacing w:after="0" w:line="152" w:lineRule="exact"/>
        <w:rPr>
          <w:sz w:val="20"/>
          <w:szCs w:val="20"/>
          <w:color w:val="auto"/>
        </w:rPr>
      </w:pPr>
    </w:p>
    <w:p>
      <w:pPr>
        <w:ind w:left="4600"/>
        <w:spacing w:after="0"/>
        <w:tabs>
          <w:tab w:leader="none" w:pos="5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Kfir Silberman</w:t>
      </w:r>
    </w:p>
    <w:p>
      <w:pPr>
        <w:spacing w:after="0" w:line="4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Name/Title: Kfir Silberman / Chief Executive Officer</w:t>
      </w:r>
    </w:p>
    <w:p>
      <w:pPr>
        <w:spacing w:after="0" w:line="44" w:lineRule="exact"/>
        <w:rPr>
          <w:sz w:val="20"/>
          <w:szCs w:val="20"/>
          <w:color w:val="auto"/>
        </w:rPr>
      </w:pPr>
    </w:p>
    <w:p>
      <w:pPr>
        <w:ind w:left="4600"/>
        <w:spacing w:after="0"/>
        <w:tabs>
          <w:tab w:leader="none" w:pos="5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2026-03-09T08:02:34Z</dcterms:created>
  <dcterms:modified xsi:type="dcterms:W3CDTF">2026-03-09T08:02:34Z</dcterms:modified>
</cp:coreProperties>
</file>